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1D2C1" w14:textId="47EFD544" w:rsidR="00624726" w:rsidRDefault="00944A4E" w:rsidP="000A2426">
      <w:pPr>
        <w:spacing w:after="80" w:line="240" w:lineRule="auto"/>
        <w:contextualSpacing/>
        <w:jc w:val="center"/>
        <w:rPr>
          <w:rFonts w:ascii="Garamond" w:eastAsiaTheme="majorEastAsia" w:hAnsi="Garamond" w:cstheme="majorBidi"/>
          <w:b/>
          <w:bCs/>
          <w:spacing w:val="-10"/>
          <w:kern w:val="28"/>
          <w:sz w:val="32"/>
          <w:szCs w:val="32"/>
        </w:rPr>
      </w:pPr>
      <w:r w:rsidRPr="00944A4E">
        <w:rPr>
          <w:rFonts w:ascii="Garamond" w:eastAsiaTheme="majorEastAsia" w:hAnsi="Garamond" w:cstheme="majorBidi"/>
          <w:b/>
          <w:bCs/>
          <w:spacing w:val="-10"/>
          <w:kern w:val="28"/>
          <w:sz w:val="32"/>
          <w:szCs w:val="32"/>
        </w:rPr>
        <w:t xml:space="preserve">Directors’ duties and climate change: </w:t>
      </w:r>
      <w:r w:rsidR="004C0383">
        <w:rPr>
          <w:rFonts w:ascii="Garamond" w:eastAsiaTheme="majorEastAsia" w:hAnsi="Garamond" w:cstheme="majorBidi"/>
          <w:b/>
          <w:bCs/>
          <w:spacing w:val="-10"/>
          <w:kern w:val="28"/>
          <w:sz w:val="32"/>
          <w:szCs w:val="32"/>
        </w:rPr>
        <w:t xml:space="preserve">navigating </w:t>
      </w:r>
      <w:r>
        <w:rPr>
          <w:rFonts w:ascii="Garamond" w:eastAsiaTheme="majorEastAsia" w:hAnsi="Garamond" w:cstheme="majorBidi"/>
          <w:b/>
          <w:bCs/>
          <w:spacing w:val="-10"/>
          <w:kern w:val="28"/>
          <w:sz w:val="32"/>
          <w:szCs w:val="32"/>
        </w:rPr>
        <w:t>t</w:t>
      </w:r>
      <w:r w:rsidRPr="00944A4E">
        <w:rPr>
          <w:rFonts w:ascii="Garamond" w:eastAsiaTheme="majorEastAsia" w:hAnsi="Garamond" w:cstheme="majorBidi"/>
          <w:b/>
          <w:bCs/>
          <w:spacing w:val="-10"/>
          <w:kern w:val="28"/>
          <w:sz w:val="32"/>
          <w:szCs w:val="32"/>
        </w:rPr>
        <w:t xml:space="preserve">he </w:t>
      </w:r>
      <w:r w:rsidR="00BE4D8B">
        <w:rPr>
          <w:rFonts w:ascii="Garamond" w:eastAsiaTheme="majorEastAsia" w:hAnsi="Garamond" w:cstheme="majorBidi"/>
          <w:b/>
          <w:bCs/>
          <w:spacing w:val="-10"/>
          <w:kern w:val="28"/>
          <w:sz w:val="32"/>
          <w:szCs w:val="32"/>
        </w:rPr>
        <w:t>shift</w:t>
      </w:r>
      <w:r w:rsidR="007B2009">
        <w:rPr>
          <w:rFonts w:ascii="Garamond" w:eastAsiaTheme="majorEastAsia" w:hAnsi="Garamond" w:cstheme="majorBidi"/>
          <w:b/>
          <w:bCs/>
          <w:spacing w:val="-10"/>
          <w:kern w:val="28"/>
          <w:sz w:val="32"/>
          <w:szCs w:val="32"/>
        </w:rPr>
        <w:t>ing</w:t>
      </w:r>
      <w:r w:rsidRPr="00944A4E">
        <w:rPr>
          <w:rFonts w:ascii="Garamond" w:eastAsiaTheme="majorEastAsia" w:hAnsi="Garamond" w:cstheme="majorBidi"/>
          <w:b/>
          <w:bCs/>
          <w:spacing w:val="-10"/>
          <w:kern w:val="28"/>
          <w:sz w:val="32"/>
          <w:szCs w:val="32"/>
        </w:rPr>
        <w:t xml:space="preserve"> landscape of corporate</w:t>
      </w:r>
      <w:r w:rsidR="00A37F7A">
        <w:rPr>
          <w:rFonts w:ascii="Garamond" w:eastAsiaTheme="majorEastAsia" w:hAnsi="Garamond" w:cstheme="majorBidi"/>
          <w:b/>
          <w:bCs/>
          <w:spacing w:val="-10"/>
          <w:kern w:val="28"/>
          <w:sz w:val="32"/>
          <w:szCs w:val="32"/>
        </w:rPr>
        <w:t xml:space="preserve"> environmental</w:t>
      </w:r>
      <w:r w:rsidRPr="00944A4E">
        <w:rPr>
          <w:rFonts w:ascii="Garamond" w:eastAsiaTheme="majorEastAsia" w:hAnsi="Garamond" w:cstheme="majorBidi"/>
          <w:b/>
          <w:bCs/>
          <w:spacing w:val="-10"/>
          <w:kern w:val="28"/>
          <w:sz w:val="32"/>
          <w:szCs w:val="32"/>
        </w:rPr>
        <w:t xml:space="preserve"> responsibility</w:t>
      </w:r>
    </w:p>
    <w:p w14:paraId="7EC5E943" w14:textId="77777777" w:rsidR="00944A4E" w:rsidRDefault="00944A4E" w:rsidP="000A2426">
      <w:pPr>
        <w:spacing w:after="80" w:line="240" w:lineRule="auto"/>
        <w:contextualSpacing/>
        <w:jc w:val="center"/>
        <w:rPr>
          <w:rFonts w:ascii="Garamond" w:eastAsiaTheme="majorEastAsia" w:hAnsi="Garamond" w:cstheme="majorBidi"/>
          <w:b/>
          <w:bCs/>
          <w:spacing w:val="-10"/>
          <w:kern w:val="28"/>
          <w:sz w:val="28"/>
          <w:szCs w:val="28"/>
        </w:rPr>
      </w:pPr>
    </w:p>
    <w:p w14:paraId="7B5C0D9A" w14:textId="06BF1100" w:rsidR="000A2426" w:rsidRDefault="001C476F" w:rsidP="000A2426">
      <w:pPr>
        <w:spacing w:after="80" w:line="240" w:lineRule="auto"/>
        <w:contextualSpacing/>
        <w:jc w:val="center"/>
        <w:rPr>
          <w:rFonts w:ascii="Garamond" w:eastAsiaTheme="majorEastAsia" w:hAnsi="Garamond" w:cstheme="majorBidi"/>
          <w:b/>
          <w:bCs/>
          <w:spacing w:val="-10"/>
          <w:kern w:val="28"/>
          <w:sz w:val="28"/>
          <w:szCs w:val="28"/>
        </w:rPr>
      </w:pPr>
      <w:r>
        <w:rPr>
          <w:rFonts w:ascii="Garamond" w:eastAsiaTheme="majorEastAsia" w:hAnsi="Garamond" w:cstheme="majorBidi"/>
          <w:b/>
          <w:bCs/>
          <w:spacing w:val="-10"/>
          <w:kern w:val="28"/>
          <w:sz w:val="28"/>
          <w:szCs w:val="28"/>
        </w:rPr>
        <w:t>T</w:t>
      </w:r>
      <w:r w:rsidR="00EF49FB">
        <w:rPr>
          <w:rFonts w:ascii="Garamond" w:eastAsiaTheme="majorEastAsia" w:hAnsi="Garamond" w:cstheme="majorBidi"/>
          <w:b/>
          <w:bCs/>
          <w:spacing w:val="-10"/>
          <w:kern w:val="28"/>
          <w:sz w:val="28"/>
          <w:szCs w:val="28"/>
        </w:rPr>
        <w:t xml:space="preserve">he </w:t>
      </w:r>
      <w:r w:rsidR="002575F9">
        <w:rPr>
          <w:rFonts w:ascii="Garamond" w:eastAsiaTheme="majorEastAsia" w:hAnsi="Garamond" w:cstheme="majorBidi"/>
          <w:b/>
          <w:bCs/>
          <w:spacing w:val="-10"/>
          <w:kern w:val="28"/>
          <w:sz w:val="28"/>
          <w:szCs w:val="28"/>
        </w:rPr>
        <w:t xml:space="preserve">Durham Law School </w:t>
      </w:r>
      <w:r>
        <w:rPr>
          <w:rFonts w:ascii="Garamond" w:eastAsiaTheme="majorEastAsia" w:hAnsi="Garamond" w:cstheme="majorBidi"/>
          <w:b/>
          <w:bCs/>
          <w:spacing w:val="-10"/>
          <w:kern w:val="28"/>
          <w:sz w:val="28"/>
          <w:szCs w:val="28"/>
        </w:rPr>
        <w:t xml:space="preserve">Institute </w:t>
      </w:r>
      <w:r w:rsidR="00A276B4">
        <w:rPr>
          <w:rFonts w:ascii="Garamond" w:eastAsiaTheme="majorEastAsia" w:hAnsi="Garamond" w:cstheme="majorBidi"/>
          <w:b/>
          <w:bCs/>
          <w:spacing w:val="-10"/>
          <w:kern w:val="28"/>
          <w:sz w:val="28"/>
          <w:szCs w:val="28"/>
        </w:rPr>
        <w:t>for</w:t>
      </w:r>
      <w:r>
        <w:rPr>
          <w:rFonts w:ascii="Garamond" w:eastAsiaTheme="majorEastAsia" w:hAnsi="Garamond" w:cstheme="majorBidi"/>
          <w:b/>
          <w:bCs/>
          <w:spacing w:val="-10"/>
          <w:kern w:val="28"/>
          <w:sz w:val="28"/>
          <w:szCs w:val="28"/>
        </w:rPr>
        <w:t xml:space="preserve"> </w:t>
      </w:r>
      <w:r w:rsidR="00EF49FB">
        <w:rPr>
          <w:rFonts w:ascii="Garamond" w:eastAsiaTheme="majorEastAsia" w:hAnsi="Garamond" w:cstheme="majorBidi"/>
          <w:b/>
          <w:bCs/>
          <w:spacing w:val="-10"/>
          <w:kern w:val="28"/>
          <w:sz w:val="28"/>
          <w:szCs w:val="28"/>
        </w:rPr>
        <w:t xml:space="preserve">Commercial and </w:t>
      </w:r>
      <w:r w:rsidR="00A96090">
        <w:rPr>
          <w:rFonts w:ascii="Garamond" w:eastAsiaTheme="majorEastAsia" w:hAnsi="Garamond" w:cstheme="majorBidi"/>
          <w:b/>
          <w:bCs/>
          <w:spacing w:val="-10"/>
          <w:kern w:val="28"/>
          <w:sz w:val="28"/>
          <w:szCs w:val="28"/>
        </w:rPr>
        <w:t>Corporate Law</w:t>
      </w:r>
      <w:r w:rsidR="002575F9">
        <w:rPr>
          <w:rFonts w:ascii="Garamond" w:eastAsiaTheme="majorEastAsia" w:hAnsi="Garamond" w:cstheme="majorBidi"/>
          <w:b/>
          <w:bCs/>
          <w:spacing w:val="-10"/>
          <w:kern w:val="28"/>
          <w:sz w:val="28"/>
          <w:szCs w:val="28"/>
        </w:rPr>
        <w:t xml:space="preserve"> Annual Lecture</w:t>
      </w:r>
    </w:p>
    <w:p w14:paraId="30F2431E" w14:textId="77777777" w:rsidR="004D5EA7" w:rsidRPr="000A2426" w:rsidRDefault="004D5EA7" w:rsidP="000A2426">
      <w:pPr>
        <w:spacing w:after="80" w:line="240" w:lineRule="auto"/>
        <w:contextualSpacing/>
        <w:jc w:val="center"/>
        <w:rPr>
          <w:rFonts w:ascii="Garamond" w:eastAsiaTheme="majorEastAsia" w:hAnsi="Garamond" w:cstheme="majorBidi"/>
          <w:b/>
          <w:bCs/>
          <w:spacing w:val="-10"/>
          <w:kern w:val="28"/>
          <w:sz w:val="28"/>
          <w:szCs w:val="28"/>
        </w:rPr>
      </w:pPr>
    </w:p>
    <w:p w14:paraId="1582B9AB" w14:textId="6AFC44F6" w:rsidR="000A2426" w:rsidRPr="000A2426" w:rsidRDefault="00141986" w:rsidP="000A2426">
      <w:pPr>
        <w:spacing w:after="80" w:line="240" w:lineRule="auto"/>
        <w:contextualSpacing/>
        <w:jc w:val="center"/>
        <w:rPr>
          <w:rFonts w:ascii="Garamond" w:eastAsiaTheme="majorEastAsia" w:hAnsi="Garamond" w:cstheme="majorBidi"/>
          <w:b/>
          <w:bCs/>
          <w:spacing w:val="-10"/>
          <w:kern w:val="28"/>
          <w:sz w:val="28"/>
          <w:szCs w:val="28"/>
        </w:rPr>
      </w:pPr>
      <w:r>
        <w:rPr>
          <w:rFonts w:ascii="Garamond" w:eastAsiaTheme="majorEastAsia" w:hAnsi="Garamond" w:cstheme="majorBidi"/>
          <w:b/>
          <w:bCs/>
          <w:spacing w:val="-10"/>
          <w:kern w:val="28"/>
          <w:sz w:val="28"/>
          <w:szCs w:val="28"/>
        </w:rPr>
        <w:t>Durham University</w:t>
      </w:r>
      <w:r w:rsidR="004D5EA7">
        <w:rPr>
          <w:rFonts w:ascii="Garamond" w:eastAsiaTheme="majorEastAsia" w:hAnsi="Garamond" w:cstheme="majorBidi"/>
          <w:b/>
          <w:bCs/>
          <w:spacing w:val="-10"/>
          <w:kern w:val="28"/>
          <w:sz w:val="28"/>
          <w:szCs w:val="28"/>
        </w:rPr>
        <w:t>, 27 February 2025</w:t>
      </w:r>
    </w:p>
    <w:p w14:paraId="18D60203" w14:textId="77777777" w:rsidR="000A2426" w:rsidRPr="000A2426" w:rsidRDefault="000A2426" w:rsidP="000A2426">
      <w:pPr>
        <w:rPr>
          <w:rFonts w:ascii="Garamond" w:hAnsi="Garamond"/>
          <w:sz w:val="25"/>
        </w:rPr>
      </w:pPr>
    </w:p>
    <w:p w14:paraId="6517E283" w14:textId="25BD4433" w:rsidR="000A2426" w:rsidRPr="000A2426" w:rsidRDefault="000A2426" w:rsidP="000A2426">
      <w:pPr>
        <w:spacing w:after="80" w:line="240" w:lineRule="auto"/>
        <w:contextualSpacing/>
        <w:jc w:val="center"/>
        <w:rPr>
          <w:rFonts w:ascii="Garamond" w:eastAsiaTheme="majorEastAsia" w:hAnsi="Garamond" w:cstheme="majorBidi"/>
          <w:b/>
          <w:bCs/>
          <w:spacing w:val="-10"/>
          <w:kern w:val="28"/>
          <w:sz w:val="28"/>
          <w:szCs w:val="28"/>
        </w:rPr>
      </w:pPr>
      <w:r w:rsidRPr="000A2426">
        <w:rPr>
          <w:rFonts w:ascii="Garamond" w:eastAsiaTheme="majorEastAsia" w:hAnsi="Garamond" w:cstheme="majorBidi"/>
          <w:b/>
          <w:bCs/>
          <w:spacing w:val="-10"/>
          <w:kern w:val="28"/>
          <w:sz w:val="28"/>
          <w:szCs w:val="28"/>
        </w:rPr>
        <w:t>Lord Sales</w:t>
      </w:r>
      <w:r w:rsidR="00F27C0C">
        <w:rPr>
          <w:rStyle w:val="FootnoteReference"/>
          <w:rFonts w:ascii="Garamond" w:eastAsiaTheme="majorEastAsia" w:hAnsi="Garamond" w:cstheme="majorBidi"/>
          <w:b/>
          <w:bCs/>
          <w:spacing w:val="-10"/>
          <w:kern w:val="28"/>
          <w:sz w:val="28"/>
          <w:szCs w:val="28"/>
        </w:rPr>
        <w:footnoteReference w:customMarkFollows="1" w:id="1"/>
        <w:t>*</w:t>
      </w:r>
    </w:p>
    <w:p w14:paraId="2FE707B5" w14:textId="151B8812" w:rsidR="002134F0" w:rsidRPr="0088130C" w:rsidRDefault="000A2426" w:rsidP="0088130C">
      <w:pPr>
        <w:pStyle w:val="Heading1"/>
      </w:pPr>
      <w:r w:rsidRPr="009C6BD8">
        <w:t>Introduction</w:t>
      </w:r>
    </w:p>
    <w:p w14:paraId="5845BBDA" w14:textId="1E1B2D4F" w:rsidR="00E75E18" w:rsidRDefault="002134F0" w:rsidP="00D00FCA">
      <w:pPr>
        <w:pStyle w:val="MainBody0"/>
      </w:pPr>
      <w:r>
        <w:tab/>
      </w:r>
      <w:r w:rsidR="001157A2" w:rsidRPr="001157A2">
        <w:t xml:space="preserve">In 2019, I gave a lecture </w:t>
      </w:r>
      <w:r w:rsidR="006433C5">
        <w:t xml:space="preserve">comparing </w:t>
      </w:r>
      <w:r w:rsidR="001E6A59">
        <w:t xml:space="preserve">the </w:t>
      </w:r>
      <w:r w:rsidR="001157A2" w:rsidRPr="001157A2">
        <w:t xml:space="preserve">response of company law </w:t>
      </w:r>
      <w:r w:rsidR="001E6A59">
        <w:t xml:space="preserve">in Australia and England </w:t>
      </w:r>
      <w:r w:rsidR="001369E6">
        <w:t xml:space="preserve">&amp; Wales </w:t>
      </w:r>
      <w:r w:rsidR="001157A2" w:rsidRPr="001157A2">
        <w:t xml:space="preserve">to the </w:t>
      </w:r>
      <w:r w:rsidR="00AD5E8F">
        <w:t>g</w:t>
      </w:r>
      <w:r w:rsidR="001157A2" w:rsidRPr="001157A2">
        <w:t>rowing challenges presented by climate change.</w:t>
      </w:r>
      <w:r w:rsidR="008935EF" w:rsidRPr="001C4185">
        <w:rPr>
          <w:rStyle w:val="FootnoteReference"/>
        </w:rPr>
        <w:footnoteReference w:id="2"/>
      </w:r>
      <w:r w:rsidR="001157A2" w:rsidRPr="001157A2">
        <w:t xml:space="preserve"> </w:t>
      </w:r>
      <w:r w:rsidR="00AB7167">
        <w:t xml:space="preserve">I </w:t>
      </w:r>
      <w:r w:rsidR="003D3D2D">
        <w:t xml:space="preserve">noted that it was a feature of company law that </w:t>
      </w:r>
      <w:r w:rsidR="007A5757">
        <w:t xml:space="preserve">company </w:t>
      </w:r>
      <w:r w:rsidR="003D3D2D">
        <w:t xml:space="preserve">directors have a wide discretion </w:t>
      </w:r>
      <w:r w:rsidR="007A5757">
        <w:t xml:space="preserve">about how to </w:t>
      </w:r>
      <w:r w:rsidR="00B03E79">
        <w:t xml:space="preserve">respond to the impact of climate change. Accordingly, civil society should </w:t>
      </w:r>
      <w:r w:rsidR="00E95C68">
        <w:t xml:space="preserve">press for responses from them which </w:t>
      </w:r>
      <w:r w:rsidR="001E2EBE">
        <w:t xml:space="preserve">would align with the objective of </w:t>
      </w:r>
      <w:r w:rsidR="006805AC">
        <w:t xml:space="preserve">reducing carbon emissions. </w:t>
      </w:r>
      <w:r w:rsidR="00CF1321">
        <w:t>But I also</w:t>
      </w:r>
      <w:r w:rsidR="003D3D2D">
        <w:t xml:space="preserve"> </w:t>
      </w:r>
      <w:r w:rsidR="00AB7167">
        <w:t>argued that</w:t>
      </w:r>
      <w:r w:rsidR="00200545">
        <w:t xml:space="preserve"> </w:t>
      </w:r>
      <w:r w:rsidR="00AB7167">
        <w:t>in</w:t>
      </w:r>
      <w:r w:rsidR="00015F5E" w:rsidRPr="00015F5E">
        <w:t xml:space="preserve"> certain circumstance</w:t>
      </w:r>
      <w:r w:rsidR="0052641B">
        <w:t>s</w:t>
      </w:r>
      <w:r w:rsidR="003E053C">
        <w:t xml:space="preserve"> </w:t>
      </w:r>
      <w:r w:rsidR="00015F5E" w:rsidRPr="00015F5E">
        <w:t>companies’ interests m</w:t>
      </w:r>
      <w:r w:rsidR="00CF1321">
        <w:t>ight</w:t>
      </w:r>
      <w:r w:rsidR="00015F5E" w:rsidRPr="00015F5E">
        <w:t xml:space="preserve"> be so </w:t>
      </w:r>
      <w:r w:rsidR="001D65A9">
        <w:t xml:space="preserve">affected </w:t>
      </w:r>
      <w:r w:rsidR="00015F5E" w:rsidRPr="00015F5E">
        <w:t xml:space="preserve">by climate change </w:t>
      </w:r>
      <w:r w:rsidR="001D65A9">
        <w:t>impacts</w:t>
      </w:r>
      <w:r w:rsidR="00015F5E" w:rsidRPr="00015F5E">
        <w:t xml:space="preserve"> that </w:t>
      </w:r>
      <w:r w:rsidR="00A36FC2">
        <w:t>directors could come under a duty t</w:t>
      </w:r>
      <w:r w:rsidR="00015F5E" w:rsidRPr="00015F5E">
        <w:t xml:space="preserve">o cause their companies to take action to reduce their contribution to </w:t>
      </w:r>
      <w:r w:rsidR="0055235D">
        <w:t>carbon emissions</w:t>
      </w:r>
      <w:r w:rsidR="00015F5E" w:rsidRPr="00015F5E">
        <w:t>.</w:t>
      </w:r>
      <w:r w:rsidR="00DD5182">
        <w:t xml:space="preserve"> </w:t>
      </w:r>
      <w:r w:rsidR="004A6100">
        <w:t>Six years on,</w:t>
      </w:r>
      <w:r w:rsidR="000E0A24">
        <w:t xml:space="preserve"> there have been significant</w:t>
      </w:r>
      <w:r w:rsidR="00A43B55">
        <w:t xml:space="preserve"> </w:t>
      </w:r>
      <w:r w:rsidR="000E0A24">
        <w:t>environmental</w:t>
      </w:r>
      <w:r w:rsidR="00797D93">
        <w:t xml:space="preserve">, </w:t>
      </w:r>
      <w:r w:rsidR="006F270C">
        <w:t>political</w:t>
      </w:r>
      <w:r w:rsidR="003A7DE3">
        <w:t xml:space="preserve">, </w:t>
      </w:r>
      <w:r w:rsidR="005D72F8">
        <w:t>economic</w:t>
      </w:r>
      <w:r w:rsidR="000E0A24">
        <w:t xml:space="preserve"> </w:t>
      </w:r>
      <w:r w:rsidR="00A20442">
        <w:t xml:space="preserve">and legal </w:t>
      </w:r>
      <w:r w:rsidR="001157A2" w:rsidRPr="001157A2">
        <w:t>developments</w:t>
      </w:r>
      <w:r w:rsidR="000E0A24">
        <w:t xml:space="preserve"> </w:t>
      </w:r>
      <w:r w:rsidR="00397D9F">
        <w:t>in this area</w:t>
      </w:r>
      <w:r w:rsidR="000A789C">
        <w:t xml:space="preserve">. </w:t>
      </w:r>
    </w:p>
    <w:p w14:paraId="64F8ACFC" w14:textId="57EF0009" w:rsidR="00C74AAD" w:rsidRDefault="002D4556" w:rsidP="00B91B18">
      <w:pPr>
        <w:pStyle w:val="MainBody0"/>
      </w:pPr>
      <w:r>
        <w:t>T</w:t>
      </w:r>
      <w:r w:rsidR="00E75E18">
        <w:t>he impact of climate change continues to be felt with</w:t>
      </w:r>
      <w:r w:rsidR="00567066">
        <w:t xml:space="preserve"> ever</w:t>
      </w:r>
      <w:r w:rsidR="00E75E18">
        <w:t xml:space="preserve"> growing intensity</w:t>
      </w:r>
      <w:r>
        <w:t xml:space="preserve"> in the environment</w:t>
      </w:r>
      <w:r w:rsidR="00E75E18">
        <w:t>.</w:t>
      </w:r>
      <w:r w:rsidR="00F1104B">
        <w:t xml:space="preserve"> The years</w:t>
      </w:r>
      <w:r w:rsidR="00E75E18">
        <w:t xml:space="preserve"> 2023 and 2024 were </w:t>
      </w:r>
      <w:r w:rsidR="008E3324">
        <w:t>in turn</w:t>
      </w:r>
      <w:r w:rsidR="00E75E18">
        <w:t xml:space="preserve"> the hottest on record</w:t>
      </w:r>
      <w:r w:rsidR="008E3324">
        <w:t xml:space="preserve">. </w:t>
      </w:r>
      <w:r w:rsidR="00E75E18">
        <w:t xml:space="preserve">2024 </w:t>
      </w:r>
      <w:r w:rsidR="0052725D">
        <w:t xml:space="preserve">saw the breach of </w:t>
      </w:r>
      <w:r w:rsidR="002E122D">
        <w:t>th</w:t>
      </w:r>
      <w:r w:rsidR="00E75E18">
        <w:t>e</w:t>
      </w:r>
      <w:r w:rsidR="00434EAC">
        <w:t xml:space="preserve"> </w:t>
      </w:r>
      <w:r w:rsidR="00F420A2">
        <w:t xml:space="preserve">temperature </w:t>
      </w:r>
      <w:r w:rsidR="009D3C12">
        <w:t>limit set by the</w:t>
      </w:r>
      <w:r w:rsidR="00434EAC" w:rsidRPr="00757E18">
        <w:t xml:space="preserve"> </w:t>
      </w:r>
      <w:r w:rsidR="00E75E18">
        <w:t>Paris Agreement</w:t>
      </w:r>
      <w:r w:rsidR="00034031">
        <w:t xml:space="preserve"> on Climate Change</w:t>
      </w:r>
      <w:r w:rsidR="00C835C9">
        <w:t xml:space="preserve"> 2015</w:t>
      </w:r>
      <w:r w:rsidR="009D3C12">
        <w:t xml:space="preserve">, </w:t>
      </w:r>
      <w:r w:rsidR="00F420A2">
        <w:t>the treaty in which</w:t>
      </w:r>
      <w:r w:rsidR="00893DCA">
        <w:t xml:space="preserve"> </w:t>
      </w:r>
      <w:r w:rsidR="00F420A2">
        <w:t xml:space="preserve">states </w:t>
      </w:r>
      <w:r w:rsidR="000B5353">
        <w:t xml:space="preserve">set </w:t>
      </w:r>
      <w:r w:rsidR="00CF44A2">
        <w:t xml:space="preserve">the aim </w:t>
      </w:r>
      <w:r w:rsidR="00EF7DEF">
        <w:t xml:space="preserve">of </w:t>
      </w:r>
      <w:r w:rsidR="00F420A2">
        <w:t>keep</w:t>
      </w:r>
      <w:r w:rsidR="00EF7DEF">
        <w:t>ing</w:t>
      </w:r>
      <w:r w:rsidR="00F420A2">
        <w:t xml:space="preserve"> global temperatures below </w:t>
      </w:r>
      <w:r w:rsidR="00F420A2" w:rsidRPr="00757E18">
        <w:t xml:space="preserve">1.5 °C </w:t>
      </w:r>
      <w:r w:rsidR="00F420A2">
        <w:t>above pre-industrial levels</w:t>
      </w:r>
      <w:r w:rsidR="00E75E18">
        <w:t>.</w:t>
      </w:r>
      <w:r w:rsidR="00E75E18" w:rsidRPr="001C4185">
        <w:rPr>
          <w:rStyle w:val="FootnoteReference"/>
        </w:rPr>
        <w:footnoteReference w:id="3"/>
      </w:r>
      <w:r w:rsidR="00E75E18">
        <w:t xml:space="preserve"> </w:t>
      </w:r>
      <w:r w:rsidR="0070655E">
        <w:t xml:space="preserve">Extreme weather events have </w:t>
      </w:r>
      <w:r w:rsidR="00600438">
        <w:t>occurred</w:t>
      </w:r>
      <w:r w:rsidR="005E5FBE">
        <w:t xml:space="preserve"> </w:t>
      </w:r>
      <w:r w:rsidR="00600438">
        <w:t>across the globe</w:t>
      </w:r>
      <w:r w:rsidR="00A324F6">
        <w:t>. T</w:t>
      </w:r>
      <w:r w:rsidR="00E75E18">
        <w:t>he UK ha</w:t>
      </w:r>
      <w:r w:rsidR="00315442">
        <w:t>d</w:t>
      </w:r>
      <w:r w:rsidR="00E75E18">
        <w:t xml:space="preserve"> a severe drought in 2022</w:t>
      </w:r>
      <w:r w:rsidR="003C5A30">
        <w:t xml:space="preserve"> (the</w:t>
      </w:r>
      <w:r w:rsidR="00F02EA7">
        <w:t xml:space="preserve"> joint</w:t>
      </w:r>
      <w:r w:rsidR="003C5A30">
        <w:t xml:space="preserve"> hottest </w:t>
      </w:r>
      <w:r w:rsidR="00DC6F56">
        <w:t xml:space="preserve">summer </w:t>
      </w:r>
      <w:r w:rsidR="003C5A30">
        <w:t>on record)</w:t>
      </w:r>
      <w:r w:rsidR="00D806BA" w:rsidRPr="001C4185">
        <w:rPr>
          <w:rStyle w:val="FootnoteReference"/>
        </w:rPr>
        <w:footnoteReference w:id="4"/>
      </w:r>
      <w:r w:rsidR="005023C9">
        <w:t xml:space="preserve"> and 2024</w:t>
      </w:r>
      <w:r w:rsidR="007F0540">
        <w:t xml:space="preserve"> brought </w:t>
      </w:r>
      <w:r w:rsidR="005023C9">
        <w:t>severe</w:t>
      </w:r>
      <w:r w:rsidR="00E75E18">
        <w:t xml:space="preserve"> </w:t>
      </w:r>
      <w:r w:rsidR="00B91B18">
        <w:t>floods</w:t>
      </w:r>
      <w:r w:rsidR="007F0540">
        <w:t xml:space="preserve"> a</w:t>
      </w:r>
      <w:r w:rsidR="008771F4">
        <w:t xml:space="preserve">nd </w:t>
      </w:r>
      <w:r w:rsidR="00E75E18">
        <w:t xml:space="preserve">the </w:t>
      </w:r>
      <w:r w:rsidR="00E75E18" w:rsidRPr="006D4807">
        <w:t>wettest 12 months in England since 1836</w:t>
      </w:r>
      <w:r w:rsidR="00E75E18">
        <w:t>.</w:t>
      </w:r>
      <w:r w:rsidR="00E75E18" w:rsidRPr="001C4185">
        <w:rPr>
          <w:rStyle w:val="FootnoteReference"/>
        </w:rPr>
        <w:footnoteReference w:id="5"/>
      </w:r>
      <w:r w:rsidR="00E75E18">
        <w:t xml:space="preserve"> </w:t>
      </w:r>
      <w:r w:rsidR="000A4DA5">
        <w:t xml:space="preserve">The </w:t>
      </w:r>
      <w:r w:rsidR="00655B47">
        <w:t xml:space="preserve">financial risk posed by </w:t>
      </w:r>
      <w:r w:rsidR="00690ABF">
        <w:t xml:space="preserve">the intensification of </w:t>
      </w:r>
      <w:r w:rsidR="00655B47">
        <w:t>climate change is significant</w:t>
      </w:r>
      <w:r w:rsidR="007555CC">
        <w:t>. T</w:t>
      </w:r>
      <w:r w:rsidR="00655B47">
        <w:t xml:space="preserve">he </w:t>
      </w:r>
      <w:r w:rsidR="000A4DA5">
        <w:t>Bank of England estimat</w:t>
      </w:r>
      <w:r w:rsidR="007555CC">
        <w:t>es</w:t>
      </w:r>
      <w:r w:rsidR="00655B47">
        <w:t xml:space="preserve"> </w:t>
      </w:r>
      <w:r w:rsidR="000A4DA5">
        <w:t xml:space="preserve">that </w:t>
      </w:r>
      <w:r w:rsidR="00084A93">
        <w:t xml:space="preserve">inaction </w:t>
      </w:r>
      <w:r w:rsidR="00655B47">
        <w:t xml:space="preserve">could </w:t>
      </w:r>
      <w:r w:rsidR="00084A93">
        <w:t xml:space="preserve">result in billions </w:t>
      </w:r>
      <w:r w:rsidR="006C471D">
        <w:t>of pounds of losses.</w:t>
      </w:r>
      <w:r w:rsidR="00BB00B9">
        <w:rPr>
          <w:rStyle w:val="FootnoteReference"/>
        </w:rPr>
        <w:footnoteReference w:id="6"/>
      </w:r>
      <w:r w:rsidR="006C471D">
        <w:t xml:space="preserve"> </w:t>
      </w:r>
      <w:r w:rsidR="00BF601C">
        <w:t>R</w:t>
      </w:r>
      <w:r w:rsidR="007904E4">
        <w:t>isks range from increased damage to physical assets from extreme weather</w:t>
      </w:r>
      <w:r w:rsidR="00C63E79">
        <w:t xml:space="preserve"> to</w:t>
      </w:r>
      <w:r w:rsidR="007904E4">
        <w:t xml:space="preserve"> increased exposure to </w:t>
      </w:r>
      <w:r w:rsidR="001619E3">
        <w:t>climate</w:t>
      </w:r>
      <w:r w:rsidR="001C79C4">
        <w:t xml:space="preserve"> change</w:t>
      </w:r>
      <w:r w:rsidR="001619E3">
        <w:t xml:space="preserve"> related </w:t>
      </w:r>
      <w:r w:rsidR="007904E4">
        <w:t>litigation</w:t>
      </w:r>
      <w:r w:rsidR="001619E3">
        <w:t>.</w:t>
      </w:r>
      <w:r w:rsidR="007904E4">
        <w:t xml:space="preserve"> </w:t>
      </w:r>
    </w:p>
    <w:p w14:paraId="2EADF613" w14:textId="52B379DE" w:rsidR="007A0F79" w:rsidRDefault="00997B85" w:rsidP="00B91B18">
      <w:pPr>
        <w:pStyle w:val="MainBody0"/>
      </w:pPr>
      <w:r>
        <w:lastRenderedPageBreak/>
        <w:t>In</w:t>
      </w:r>
      <w:r w:rsidR="00F177EB">
        <w:t xml:space="preserve"> politic</w:t>
      </w:r>
      <w:r w:rsidR="005830BE">
        <w:t>s</w:t>
      </w:r>
      <w:r w:rsidR="0006419E">
        <w:t>,</w:t>
      </w:r>
      <w:r w:rsidR="00F177EB">
        <w:t xml:space="preserve"> </w:t>
      </w:r>
      <w:r w:rsidR="006925E3">
        <w:t xml:space="preserve">the consensus that </w:t>
      </w:r>
      <w:r w:rsidR="004F2DA4">
        <w:t>emerged</w:t>
      </w:r>
      <w:r w:rsidR="006925E3">
        <w:t xml:space="preserve"> following </w:t>
      </w:r>
      <w:r w:rsidR="0042023C">
        <w:t xml:space="preserve">the Paris Agreement has </w:t>
      </w:r>
      <w:r w:rsidR="006552C9">
        <w:t>fractured</w:t>
      </w:r>
      <w:r w:rsidR="004F2DA4">
        <w:t xml:space="preserve">. </w:t>
      </w:r>
      <w:r w:rsidR="006E5A2C">
        <w:t>There is strong</w:t>
      </w:r>
      <w:r w:rsidR="00FA79F9">
        <w:t xml:space="preserve"> </w:t>
      </w:r>
      <w:r w:rsidR="00A639CB">
        <w:t xml:space="preserve">disagreement </w:t>
      </w:r>
      <w:r w:rsidR="005A35BC">
        <w:t>between</w:t>
      </w:r>
      <w:r w:rsidR="006E5A2C">
        <w:t xml:space="preserve"> </w:t>
      </w:r>
      <w:r w:rsidR="004A67F3">
        <w:t>politicians advocating</w:t>
      </w:r>
      <w:r w:rsidR="003F6951">
        <w:t xml:space="preserve"> </w:t>
      </w:r>
      <w:r w:rsidR="003F6951" w:rsidRPr="003F6951">
        <w:t xml:space="preserve">for </w:t>
      </w:r>
      <w:r w:rsidR="00D43752">
        <w:t>greater action</w:t>
      </w:r>
      <w:r w:rsidR="003F6951" w:rsidRPr="003F6951">
        <w:t xml:space="preserve"> to mitigate climate </w:t>
      </w:r>
      <w:r w:rsidR="00C56E22">
        <w:t>change</w:t>
      </w:r>
      <w:r w:rsidR="003F6951" w:rsidRPr="003F6951">
        <w:t xml:space="preserve"> and those who </w:t>
      </w:r>
      <w:r w:rsidR="00F649D6">
        <w:t>are</w:t>
      </w:r>
      <w:r w:rsidR="003F6951" w:rsidRPr="003F6951">
        <w:t xml:space="preserve"> </w:t>
      </w:r>
      <w:r w:rsidR="00326A58" w:rsidRPr="003F6951">
        <w:t>sceptical</w:t>
      </w:r>
      <w:r w:rsidR="003F6951" w:rsidRPr="003F6951">
        <w:t xml:space="preserve"> about the benefits of </w:t>
      </w:r>
      <w:r w:rsidR="00487481">
        <w:t>these measures</w:t>
      </w:r>
      <w:r w:rsidR="00326A58" w:rsidRPr="003F6951">
        <w:t>.</w:t>
      </w:r>
      <w:r w:rsidR="00326A58">
        <w:t xml:space="preserve"> In</w:t>
      </w:r>
      <w:r w:rsidR="00C83415">
        <w:t xml:space="preserve"> November 2020, Donald Trump formall</w:t>
      </w:r>
      <w:r w:rsidR="00EF7441">
        <w:t>y</w:t>
      </w:r>
      <w:r w:rsidR="00C83415">
        <w:t xml:space="preserve"> withdrew </w:t>
      </w:r>
      <w:r w:rsidR="003B1BEB">
        <w:t xml:space="preserve">the United States </w:t>
      </w:r>
      <w:r w:rsidR="00C83415">
        <w:t>from the Paris Agreement</w:t>
      </w:r>
      <w:r w:rsidR="00153DBC">
        <w:t xml:space="preserve">, </w:t>
      </w:r>
      <w:r w:rsidR="004B19E3">
        <w:t>arguing it placed an</w:t>
      </w:r>
      <w:r w:rsidR="00153DBC">
        <w:t xml:space="preserve"> unfair economic burden </w:t>
      </w:r>
      <w:r w:rsidR="004B19E3">
        <w:t>on American workers</w:t>
      </w:r>
      <w:r w:rsidR="00764841">
        <w:t>.</w:t>
      </w:r>
      <w:r w:rsidR="002E7156" w:rsidRPr="001C4185">
        <w:rPr>
          <w:rStyle w:val="FootnoteReference"/>
        </w:rPr>
        <w:footnoteReference w:id="7"/>
      </w:r>
      <w:r w:rsidR="00AE2A0F">
        <w:t xml:space="preserve"> </w:t>
      </w:r>
      <w:r w:rsidR="009671C2">
        <w:t xml:space="preserve">That was reversed by </w:t>
      </w:r>
      <w:r w:rsidR="00AE2B5A">
        <w:t>J</w:t>
      </w:r>
      <w:r w:rsidR="00495164">
        <w:t>oe Biden</w:t>
      </w:r>
      <w:r w:rsidR="00AE2B5A">
        <w:t>, who also engaged in large</w:t>
      </w:r>
      <w:r w:rsidR="00AB32E6">
        <w:t xml:space="preserve"> green</w:t>
      </w:r>
      <w:r w:rsidR="003D6643">
        <w:t xml:space="preserve"> infrastructure</w:t>
      </w:r>
      <w:r w:rsidR="00AE2B5A">
        <w:t xml:space="preserve"> </w:t>
      </w:r>
      <w:r w:rsidR="00B459B8">
        <w:t xml:space="preserve">investments to combat </w:t>
      </w:r>
      <w:r w:rsidR="00AE2B5A">
        <w:t xml:space="preserve">climate </w:t>
      </w:r>
      <w:r w:rsidR="00B459B8">
        <w:t xml:space="preserve">change. When </w:t>
      </w:r>
      <w:r w:rsidR="00397D9F">
        <w:t xml:space="preserve">Donald Trump </w:t>
      </w:r>
      <w:r w:rsidR="00B459B8">
        <w:t>returned to the presidency in 2025</w:t>
      </w:r>
      <w:r w:rsidR="00EA7791">
        <w:t>,</w:t>
      </w:r>
      <w:r w:rsidR="00B459B8">
        <w:t xml:space="preserve"> </w:t>
      </w:r>
      <w:r w:rsidR="002E2BB7">
        <w:t>he again caused the United States to withdraw</w:t>
      </w:r>
      <w:r w:rsidR="00E41CB3">
        <w:t xml:space="preserve"> from the </w:t>
      </w:r>
      <w:r w:rsidR="00FE273B">
        <w:t xml:space="preserve">Paris </w:t>
      </w:r>
      <w:r w:rsidR="00487453">
        <w:t>Agreement</w:t>
      </w:r>
      <w:r w:rsidR="00F91089">
        <w:t xml:space="preserve"> </w:t>
      </w:r>
      <w:r w:rsidR="00FB21CC">
        <w:t xml:space="preserve">and halted </w:t>
      </w:r>
      <w:r w:rsidR="002E2BB7">
        <w:t xml:space="preserve">Biden’s </w:t>
      </w:r>
      <w:r w:rsidR="00FB21CC">
        <w:t xml:space="preserve">green infrastructure </w:t>
      </w:r>
      <w:r w:rsidR="00EA47B7">
        <w:t>investments</w:t>
      </w:r>
      <w:r w:rsidR="006C0DFF">
        <w:t>.</w:t>
      </w:r>
      <w:r w:rsidR="00792F77" w:rsidRPr="001C4185">
        <w:rPr>
          <w:rStyle w:val="FootnoteReference"/>
        </w:rPr>
        <w:footnoteReference w:id="8"/>
      </w:r>
      <w:r w:rsidR="00C56133">
        <w:t xml:space="preserve"> </w:t>
      </w:r>
    </w:p>
    <w:p w14:paraId="7C5F7E15" w14:textId="77777777" w:rsidR="002573E9" w:rsidRDefault="007A0F79" w:rsidP="00B91B18">
      <w:pPr>
        <w:pStyle w:val="MainBody0"/>
      </w:pPr>
      <w:r>
        <w:t>I</w:t>
      </w:r>
      <w:r w:rsidR="00C56133">
        <w:t xml:space="preserve">n 2020 the European Commission </w:t>
      </w:r>
      <w:r w:rsidR="000E16CA">
        <w:t xml:space="preserve">approved the ‘European Green Deal’ </w:t>
      </w:r>
      <w:r w:rsidR="000E16CA" w:rsidRPr="000E16CA">
        <w:t>with the aim of becoming the first c</w:t>
      </w:r>
      <w:r>
        <w:t>arbon</w:t>
      </w:r>
      <w:r w:rsidR="000E16CA" w:rsidRPr="000E16CA">
        <w:t>-neutral continent by 2050.</w:t>
      </w:r>
      <w:r w:rsidR="00A27A93" w:rsidRPr="001C4185">
        <w:rPr>
          <w:rStyle w:val="FootnoteReference"/>
        </w:rPr>
        <w:footnoteReference w:id="9"/>
      </w:r>
      <w:r w:rsidR="000E16CA" w:rsidRPr="000E16CA">
        <w:t xml:space="preserve"> </w:t>
      </w:r>
      <w:r w:rsidR="000E16CA">
        <w:t xml:space="preserve"> This too has</w:t>
      </w:r>
      <w:r w:rsidR="00A462D5">
        <w:t xml:space="preserve"> </w:t>
      </w:r>
      <w:r w:rsidR="000E16CA" w:rsidRPr="000E16CA">
        <w:t>come under increasing criticism, with French President Emmanu</w:t>
      </w:r>
      <w:r w:rsidR="001D00F3">
        <w:t>e</w:t>
      </w:r>
      <w:r w:rsidR="000E16CA" w:rsidRPr="000E16CA">
        <w:t xml:space="preserve">l Macron and other leaders calling for a pause in the roll out of </w:t>
      </w:r>
      <w:r w:rsidR="00832DF9">
        <w:t>EU</w:t>
      </w:r>
      <w:r w:rsidR="000E16CA" w:rsidRPr="000E16CA">
        <w:t xml:space="preserve"> environmental regulation.</w:t>
      </w:r>
      <w:r w:rsidR="00A27A93" w:rsidRPr="001C4185">
        <w:rPr>
          <w:rStyle w:val="FootnoteReference"/>
        </w:rPr>
        <w:footnoteReference w:id="10"/>
      </w:r>
      <w:r w:rsidR="002F751F">
        <w:t xml:space="preserve"> </w:t>
      </w:r>
    </w:p>
    <w:p w14:paraId="5248DEC8" w14:textId="76FCF1B4" w:rsidR="00D47BD2" w:rsidRDefault="002573E9" w:rsidP="00B91B18">
      <w:pPr>
        <w:pStyle w:val="MainBody0"/>
      </w:pPr>
      <w:r>
        <w:t>In the UK</w:t>
      </w:r>
      <w:r w:rsidR="00B93062">
        <w:t xml:space="preserve"> politicians</w:t>
      </w:r>
      <w:r w:rsidR="003C0E94">
        <w:t xml:space="preserve">, </w:t>
      </w:r>
      <w:r w:rsidR="00E41CB3">
        <w:t xml:space="preserve">companies </w:t>
      </w:r>
      <w:r w:rsidR="003C0E94">
        <w:t xml:space="preserve">and the public </w:t>
      </w:r>
      <w:r w:rsidR="00DD4A6B">
        <w:t>disagree over</w:t>
      </w:r>
      <w:r w:rsidR="00B115F8">
        <w:t xml:space="preserve"> </w:t>
      </w:r>
      <w:r w:rsidR="006A5306">
        <w:t>when</w:t>
      </w:r>
      <w:r w:rsidR="006638FD">
        <w:t xml:space="preserve">, </w:t>
      </w:r>
      <w:r w:rsidR="006A5306">
        <w:t>how</w:t>
      </w:r>
      <w:r w:rsidR="006638FD">
        <w:t xml:space="preserve"> and, sometimes, if, </w:t>
      </w:r>
      <w:r w:rsidR="00A06133">
        <w:t>the UK</w:t>
      </w:r>
      <w:r w:rsidR="00D106DA">
        <w:t xml:space="preserve"> should </w:t>
      </w:r>
      <w:r w:rsidR="006638FD">
        <w:t>act</w:t>
      </w:r>
      <w:r w:rsidR="00D106DA">
        <w:t xml:space="preserve"> on the climate</w:t>
      </w:r>
      <w:r w:rsidR="00E41CB3">
        <w:t>.</w:t>
      </w:r>
      <w:r w:rsidR="00312A05">
        <w:t xml:space="preserve"> </w:t>
      </w:r>
      <w:r w:rsidR="0095256D">
        <w:t xml:space="preserve">Labour’s 2024 </w:t>
      </w:r>
      <w:r w:rsidR="004B456C">
        <w:t>election manifesto</w:t>
      </w:r>
      <w:r w:rsidR="00096BFA">
        <w:t xml:space="preserve"> </w:t>
      </w:r>
      <w:r w:rsidR="00727D78">
        <w:t xml:space="preserve">committed </w:t>
      </w:r>
      <w:r w:rsidR="00180DDA">
        <w:t>to a zero-carbon electricity system by 2030</w:t>
      </w:r>
      <w:r w:rsidR="004A6DB8">
        <w:t>.</w:t>
      </w:r>
      <w:r w:rsidR="00B80C63" w:rsidRPr="001C4185">
        <w:rPr>
          <w:rStyle w:val="FootnoteReference"/>
        </w:rPr>
        <w:footnoteReference w:id="11"/>
      </w:r>
      <w:r w:rsidR="004A6DB8">
        <w:t xml:space="preserve"> </w:t>
      </w:r>
      <w:r w:rsidR="007C51AE">
        <w:t>T</w:t>
      </w:r>
      <w:r w:rsidR="00351519">
        <w:t xml:space="preserve">he </w:t>
      </w:r>
      <w:r w:rsidR="007C51AE">
        <w:t>Conservative o</w:t>
      </w:r>
      <w:r w:rsidR="00351519">
        <w:t xml:space="preserve">pposition argue </w:t>
      </w:r>
      <w:r w:rsidR="0024184C">
        <w:t xml:space="preserve">that an overreliance </w:t>
      </w:r>
      <w:r w:rsidR="004021B1" w:rsidRPr="004021B1">
        <w:t xml:space="preserve">on renewables without </w:t>
      </w:r>
      <w:r w:rsidR="004F309B">
        <w:t xml:space="preserve">the </w:t>
      </w:r>
      <w:r w:rsidR="004021B1" w:rsidRPr="004021B1">
        <w:t xml:space="preserve">backup </w:t>
      </w:r>
      <w:r w:rsidR="004F309B">
        <w:t xml:space="preserve">of traditional energy </w:t>
      </w:r>
      <w:r w:rsidR="00F17BDC">
        <w:t xml:space="preserve">sources </w:t>
      </w:r>
      <w:r w:rsidR="004021B1" w:rsidRPr="004021B1">
        <w:t xml:space="preserve">could leave the country vulnerable to </w:t>
      </w:r>
      <w:r w:rsidR="00F44C0C">
        <w:t xml:space="preserve">energy </w:t>
      </w:r>
      <w:r w:rsidR="004021B1" w:rsidRPr="004021B1">
        <w:t>shortages</w:t>
      </w:r>
      <w:r w:rsidR="000D68D6">
        <w:t xml:space="preserve"> and </w:t>
      </w:r>
      <w:r w:rsidR="005642C8">
        <w:t xml:space="preserve">undermine </w:t>
      </w:r>
      <w:r w:rsidR="000D68D6">
        <w:t>economic growth</w:t>
      </w:r>
      <w:r w:rsidR="004021B1" w:rsidRPr="004021B1">
        <w:t>.</w:t>
      </w:r>
      <w:r w:rsidR="009C799D" w:rsidRPr="001C4185">
        <w:rPr>
          <w:rStyle w:val="FootnoteReference"/>
        </w:rPr>
        <w:footnoteReference w:id="12"/>
      </w:r>
      <w:r w:rsidR="00A5167F">
        <w:t xml:space="preserve"> </w:t>
      </w:r>
      <w:r w:rsidR="00D47BD2">
        <w:t xml:space="preserve"> </w:t>
      </w:r>
    </w:p>
    <w:p w14:paraId="4E701373" w14:textId="30FCB1B0" w:rsidR="003A7DE3" w:rsidRDefault="00486F3A" w:rsidP="007F6B80">
      <w:pPr>
        <w:pStyle w:val="MainBody0"/>
      </w:pPr>
      <w:r>
        <w:t xml:space="preserve">In </w:t>
      </w:r>
      <w:r w:rsidR="002F6096">
        <w:t>the economic domain</w:t>
      </w:r>
      <w:r>
        <w:t xml:space="preserve"> t</w:t>
      </w:r>
      <w:r w:rsidR="00132D57">
        <w:t xml:space="preserve">he early </w:t>
      </w:r>
      <w:r w:rsidR="00987632">
        <w:t xml:space="preserve">2020s saw the rise of </w:t>
      </w:r>
      <w:r w:rsidR="00C02DE6">
        <w:t>‘ESG</w:t>
      </w:r>
      <w:r w:rsidR="00AD3442">
        <w:t>-investing</w:t>
      </w:r>
      <w:r w:rsidR="00C02DE6">
        <w:t>’</w:t>
      </w:r>
      <w:r w:rsidR="00AD3442">
        <w:t xml:space="preserve">, </w:t>
      </w:r>
      <w:r w:rsidR="000F41FE">
        <w:t>which</w:t>
      </w:r>
      <w:r w:rsidR="002A4C39">
        <w:t xml:space="preserve"> </w:t>
      </w:r>
      <w:r w:rsidR="00613A34">
        <w:t>emphasis</w:t>
      </w:r>
      <w:r w:rsidR="00730EA8">
        <w:t>es</w:t>
      </w:r>
      <w:r w:rsidR="002A4C39">
        <w:t xml:space="preserve"> e</w:t>
      </w:r>
      <w:r w:rsidR="002A4C39" w:rsidRPr="002A4C39">
        <w:t xml:space="preserve">nvironmental, social, and governance </w:t>
      </w:r>
      <w:r w:rsidR="002A4C39">
        <w:t>considerations</w:t>
      </w:r>
      <w:r w:rsidR="000F41FE">
        <w:t xml:space="preserve"> </w:t>
      </w:r>
      <w:r w:rsidR="00A80B5F">
        <w:t xml:space="preserve">in addition to </w:t>
      </w:r>
      <w:r w:rsidR="000F41FE">
        <w:t>financial returns</w:t>
      </w:r>
      <w:r w:rsidR="002A4C39">
        <w:t xml:space="preserve">. </w:t>
      </w:r>
      <w:r w:rsidR="0059118B">
        <w:t xml:space="preserve">This </w:t>
      </w:r>
      <w:r w:rsidR="000201A0">
        <w:t xml:space="preserve">also </w:t>
      </w:r>
      <w:r w:rsidR="000F6C25">
        <w:t>reflect</w:t>
      </w:r>
      <w:r w:rsidR="000201A0">
        <w:t>ed</w:t>
      </w:r>
      <w:r w:rsidR="000F6C25">
        <w:t xml:space="preserve"> a growing awareness </w:t>
      </w:r>
      <w:r w:rsidR="0012539B">
        <w:t xml:space="preserve">that </w:t>
      </w:r>
      <w:r w:rsidR="00C3202E">
        <w:t xml:space="preserve">climate change could have </w:t>
      </w:r>
      <w:r w:rsidR="008C09EE">
        <w:t>significant financial implications for</w:t>
      </w:r>
      <w:r w:rsidR="00B2460F">
        <w:t xml:space="preserve"> </w:t>
      </w:r>
      <w:r w:rsidR="008C09EE">
        <w:t>companies</w:t>
      </w:r>
      <w:r w:rsidR="00B77D2A">
        <w:t>.</w:t>
      </w:r>
      <w:r w:rsidR="001C4185" w:rsidRPr="001C4185">
        <w:rPr>
          <w:rFonts w:asciiTheme="minorHAnsi" w:hAnsiTheme="minorHAnsi"/>
          <w:sz w:val="24"/>
        </w:rPr>
        <w:t xml:space="preserve"> </w:t>
      </w:r>
      <w:r w:rsidR="00253898">
        <w:t xml:space="preserve">There was a </w:t>
      </w:r>
      <w:r w:rsidR="00C82FAB">
        <w:t>ri</w:t>
      </w:r>
      <w:r w:rsidR="001C4185" w:rsidRPr="001C4185">
        <w:t xml:space="preserve">se </w:t>
      </w:r>
      <w:r w:rsidR="00C82FAB">
        <w:t>in</w:t>
      </w:r>
      <w:r w:rsidR="001C4185" w:rsidRPr="001C4185">
        <w:t xml:space="preserve"> ESG</w:t>
      </w:r>
      <w:r w:rsidR="008A3CEF">
        <w:t>-</w:t>
      </w:r>
      <w:r w:rsidR="001C4185" w:rsidRPr="001C4185">
        <w:t xml:space="preserve">activism, where shareholders </w:t>
      </w:r>
      <w:r w:rsidR="003B2637">
        <w:t>use</w:t>
      </w:r>
      <w:r w:rsidR="001C4185" w:rsidRPr="001C4185">
        <w:t xml:space="preserve"> their rights to influence</w:t>
      </w:r>
      <w:r w:rsidR="00073B78">
        <w:t xml:space="preserve"> </w:t>
      </w:r>
      <w:r w:rsidR="0050494F">
        <w:t>a company’s policy</w:t>
      </w:r>
      <w:r w:rsidR="001C4185" w:rsidRPr="001C4185">
        <w:t>, including by electing directors who align with their sustainability objectives.</w:t>
      </w:r>
      <w:r w:rsidR="00A06660">
        <w:t xml:space="preserve"> </w:t>
      </w:r>
      <w:r w:rsidR="00F23CF9">
        <w:t xml:space="preserve">For example, </w:t>
      </w:r>
      <w:r w:rsidR="00F23CF9" w:rsidRPr="00F23CF9">
        <w:t>in June 2021, Engine No. 1</w:t>
      </w:r>
      <w:r w:rsidR="003B4427">
        <w:t xml:space="preserve">, </w:t>
      </w:r>
      <w:r w:rsidR="00F23CF9" w:rsidRPr="00F23CF9">
        <w:t>a</w:t>
      </w:r>
      <w:r w:rsidR="00D47C75">
        <w:t>n ESG</w:t>
      </w:r>
      <w:r w:rsidR="00D50193">
        <w:t xml:space="preserve"> </w:t>
      </w:r>
      <w:r w:rsidR="00F23CF9" w:rsidRPr="00F23CF9">
        <w:t>hedge fund</w:t>
      </w:r>
      <w:r w:rsidR="00D85344">
        <w:t xml:space="preserve">, </w:t>
      </w:r>
      <w:r w:rsidR="00F23CF9" w:rsidRPr="00F23CF9">
        <w:t>successfully replac</w:t>
      </w:r>
      <w:r w:rsidR="004E57A5">
        <w:t>ed</w:t>
      </w:r>
      <w:r w:rsidR="00F23CF9" w:rsidRPr="00F23CF9">
        <w:t xml:space="preserve"> a quarter of the</w:t>
      </w:r>
      <w:r w:rsidR="002D6DA1">
        <w:t xml:space="preserve"> </w:t>
      </w:r>
      <w:r w:rsidR="002D6DA1" w:rsidRPr="00F23CF9">
        <w:t>board of directors</w:t>
      </w:r>
      <w:r w:rsidR="009A348E">
        <w:t xml:space="preserve"> for the</w:t>
      </w:r>
      <w:r w:rsidR="00F23CF9" w:rsidRPr="00F23CF9">
        <w:t xml:space="preserve"> </w:t>
      </w:r>
      <w:r w:rsidR="004E57A5">
        <w:t xml:space="preserve">American </w:t>
      </w:r>
      <w:r w:rsidR="00826EB6">
        <w:t xml:space="preserve">oil </w:t>
      </w:r>
      <w:r w:rsidR="00FD0FF0">
        <w:t xml:space="preserve">giant </w:t>
      </w:r>
      <w:r w:rsidR="004E57A5">
        <w:t>Ex</w:t>
      </w:r>
      <w:r w:rsidR="00D84D9B">
        <w:t>x</w:t>
      </w:r>
      <w:r w:rsidR="004E57A5">
        <w:t>on</w:t>
      </w:r>
      <w:r w:rsidR="004334FF">
        <w:t>Mobil</w:t>
      </w:r>
      <w:r w:rsidR="00F23CF9" w:rsidRPr="00F23CF9">
        <w:t>.</w:t>
      </w:r>
      <w:r w:rsidR="003C415F">
        <w:t xml:space="preserve"> </w:t>
      </w:r>
      <w:r w:rsidR="00B8736C">
        <w:t>Engine No</w:t>
      </w:r>
      <w:r w:rsidR="007A5A9B">
        <w:t>.</w:t>
      </w:r>
      <w:r w:rsidR="00B8736C">
        <w:t xml:space="preserve"> 1 </w:t>
      </w:r>
      <w:r w:rsidR="00B07AEF">
        <w:t>won the support of</w:t>
      </w:r>
      <w:r w:rsidR="00624DE5">
        <w:t xml:space="preserve"> other shareholders by</w:t>
      </w:r>
      <w:r w:rsidR="003E4051">
        <w:t xml:space="preserve"> </w:t>
      </w:r>
      <w:r w:rsidR="00B8736C">
        <w:t>argu</w:t>
      </w:r>
      <w:r w:rsidR="00624DE5">
        <w:t>ing</w:t>
      </w:r>
      <w:r w:rsidR="00B8736C" w:rsidRPr="00B8736C">
        <w:rPr>
          <w:rFonts w:asciiTheme="minorHAnsi" w:hAnsiTheme="minorHAnsi"/>
          <w:sz w:val="24"/>
        </w:rPr>
        <w:t xml:space="preserve"> </w:t>
      </w:r>
      <w:r w:rsidR="00E06DE5" w:rsidRPr="00E06DE5">
        <w:t xml:space="preserve">that </w:t>
      </w:r>
      <w:r w:rsidR="004334FF">
        <w:t>the company’s</w:t>
      </w:r>
      <w:r w:rsidR="004B58A0">
        <w:t xml:space="preserve"> </w:t>
      </w:r>
      <w:r w:rsidR="00157705">
        <w:t xml:space="preserve">denial of climate change and failure to diversify towards renewables </w:t>
      </w:r>
      <w:r w:rsidR="00826EB6">
        <w:t xml:space="preserve">was partly to blame for its </w:t>
      </w:r>
      <w:r w:rsidR="00B8736C" w:rsidRPr="00B8736C">
        <w:t>disappointing financial returns.</w:t>
      </w:r>
      <w:r w:rsidR="00A44B60" w:rsidRPr="001C4185">
        <w:rPr>
          <w:rStyle w:val="FootnoteReference"/>
        </w:rPr>
        <w:footnoteReference w:id="13"/>
      </w:r>
      <w:r w:rsidR="00F23EC2">
        <w:t xml:space="preserve"> </w:t>
      </w:r>
      <w:r w:rsidR="00FE3EC4">
        <w:t>However,</w:t>
      </w:r>
      <w:r w:rsidR="0033357C">
        <w:t xml:space="preserve"> </w:t>
      </w:r>
      <w:r w:rsidR="00F104D0">
        <w:t>there has been criticism</w:t>
      </w:r>
      <w:r w:rsidR="00461D90">
        <w:t xml:space="preserve"> of</w:t>
      </w:r>
      <w:r w:rsidR="00F104D0">
        <w:t xml:space="preserve"> </w:t>
      </w:r>
      <w:r w:rsidR="00FE3EC4">
        <w:t>ESG</w:t>
      </w:r>
      <w:r w:rsidR="00175D9D">
        <w:t>-investing,</w:t>
      </w:r>
      <w:r w:rsidR="00F104D0">
        <w:t xml:space="preserve"> </w:t>
      </w:r>
      <w:r w:rsidR="00BC7B6A">
        <w:t>with some ar</w:t>
      </w:r>
      <w:r w:rsidR="00BC7B6A" w:rsidRPr="00BC7B6A">
        <w:t>gu</w:t>
      </w:r>
      <w:r w:rsidR="00BC7B6A">
        <w:t>ing</w:t>
      </w:r>
      <w:r w:rsidR="00BC7B6A" w:rsidRPr="00BC7B6A">
        <w:t xml:space="preserve"> that it </w:t>
      </w:r>
      <w:r w:rsidR="00BC7B6A">
        <w:lastRenderedPageBreak/>
        <w:t xml:space="preserve">undermines </w:t>
      </w:r>
      <w:r w:rsidR="00BC7B6A" w:rsidRPr="00BC7B6A">
        <w:t>market efficiency and impose</w:t>
      </w:r>
      <w:r w:rsidR="00116086">
        <w:t>s</w:t>
      </w:r>
      <w:r w:rsidR="00BC7B6A" w:rsidRPr="00BC7B6A">
        <w:t xml:space="preserve"> ideological agendas on corporate governance.</w:t>
      </w:r>
      <w:r w:rsidR="00C213C1" w:rsidRPr="001C4185">
        <w:rPr>
          <w:rStyle w:val="FootnoteReference"/>
        </w:rPr>
        <w:footnoteReference w:id="14"/>
      </w:r>
      <w:r w:rsidR="00BC7B6A" w:rsidRPr="00BC7B6A">
        <w:t xml:space="preserve"> </w:t>
      </w:r>
      <w:r w:rsidR="005E6A09">
        <w:t>O</w:t>
      </w:r>
      <w:r w:rsidR="003D6582">
        <w:t>ther</w:t>
      </w:r>
      <w:r w:rsidR="00FD23CE">
        <w:t xml:space="preserve"> critics have arg</w:t>
      </w:r>
      <w:r w:rsidR="00954E7C">
        <w:t xml:space="preserve">ued </w:t>
      </w:r>
      <w:r w:rsidR="004D72B0">
        <w:t>it is an ineffective substitute for government action</w:t>
      </w:r>
      <w:r w:rsidR="004015ED">
        <w:t xml:space="preserve"> on the climate</w:t>
      </w:r>
      <w:r w:rsidR="004D72B0">
        <w:t>.</w:t>
      </w:r>
      <w:r w:rsidR="00E11473" w:rsidRPr="001C4185">
        <w:rPr>
          <w:rStyle w:val="FootnoteReference"/>
        </w:rPr>
        <w:footnoteReference w:id="15"/>
      </w:r>
      <w:r w:rsidR="004D72B0">
        <w:t xml:space="preserve"> </w:t>
      </w:r>
      <w:r w:rsidR="00CF3F1E">
        <w:t xml:space="preserve">Engine No 1 has </w:t>
      </w:r>
      <w:r w:rsidR="00A642DE">
        <w:t xml:space="preserve">now dropped its activism and voted </w:t>
      </w:r>
      <w:r w:rsidR="00A642DE" w:rsidRPr="00A642DE">
        <w:t>against a</w:t>
      </w:r>
      <w:r w:rsidR="00F938D2">
        <w:t xml:space="preserve"> shareholder</w:t>
      </w:r>
      <w:r w:rsidR="00A642DE" w:rsidRPr="00A642DE">
        <w:t xml:space="preserve"> resolution that called for Exxon</w:t>
      </w:r>
      <w:r w:rsidR="00D47A82">
        <w:t>Mobil</w:t>
      </w:r>
      <w:r w:rsidR="00A642DE" w:rsidRPr="00A642DE">
        <w:t xml:space="preserve"> to reduce its emissions</w:t>
      </w:r>
      <w:r w:rsidR="00F938D2">
        <w:t>.</w:t>
      </w:r>
      <w:r w:rsidR="00FD23CE" w:rsidRPr="001C4185">
        <w:rPr>
          <w:rStyle w:val="FootnoteReference"/>
        </w:rPr>
        <w:footnoteReference w:id="16"/>
      </w:r>
      <w:r w:rsidR="00FF7CC3">
        <w:rPr>
          <w:rStyle w:val="FootnoteReference"/>
        </w:rPr>
        <w:t xml:space="preserve"> </w:t>
      </w:r>
      <w:r w:rsidR="00FF7CC3" w:rsidRPr="00FF7CC3">
        <w:t>In August</w:t>
      </w:r>
      <w:r w:rsidR="00FF7CC3">
        <w:t xml:space="preserve"> last year</w:t>
      </w:r>
      <w:r w:rsidR="00FF7CC3" w:rsidRPr="00FF7CC3">
        <w:t xml:space="preserve">, BlackRock, the world’s largest investment firm, </w:t>
      </w:r>
      <w:r w:rsidR="00763ABC">
        <w:t>stated</w:t>
      </w:r>
      <w:r w:rsidR="00FF7CC3" w:rsidRPr="00FF7CC3">
        <w:t xml:space="preserve"> it had significantly reduced its support for shareholder proposals addressing </w:t>
      </w:r>
      <w:r w:rsidR="00BD351D">
        <w:t xml:space="preserve">ESG </w:t>
      </w:r>
      <w:r w:rsidR="00FF7CC3" w:rsidRPr="00FF7CC3">
        <w:t>issues</w:t>
      </w:r>
      <w:r w:rsidR="004E1D0F">
        <w:t xml:space="preserve">, having previously supported 47% of </w:t>
      </w:r>
      <w:r w:rsidR="00A579AB">
        <w:t>such</w:t>
      </w:r>
      <w:r w:rsidR="004E1D0F">
        <w:t xml:space="preserve"> proposals</w:t>
      </w:r>
      <w:r w:rsidR="00C6143E">
        <w:t xml:space="preserve"> in 2021</w:t>
      </w:r>
      <w:r w:rsidR="004E1D0F">
        <w:t>.</w:t>
      </w:r>
      <w:r w:rsidR="007D4EA0" w:rsidRPr="001C4185">
        <w:rPr>
          <w:rStyle w:val="FootnoteReference"/>
        </w:rPr>
        <w:footnoteReference w:id="17"/>
      </w:r>
      <w:r w:rsidR="00D801BB">
        <w:t xml:space="preserve"> A report for the organisation ShareAction </w:t>
      </w:r>
      <w:r w:rsidR="007425C9">
        <w:t>in February 2025 chart</w:t>
      </w:r>
      <w:r w:rsidR="00A17E64">
        <w:t>s</w:t>
      </w:r>
      <w:r w:rsidR="007425C9">
        <w:t xml:space="preserve"> the decline in shareholder activism on ESG </w:t>
      </w:r>
      <w:r w:rsidR="00A17E64">
        <w:t>matters.</w:t>
      </w:r>
      <w:r w:rsidR="00A17E64">
        <w:rPr>
          <w:rStyle w:val="FootnoteReference"/>
        </w:rPr>
        <w:footnoteReference w:id="18"/>
      </w:r>
      <w:r w:rsidR="004E1D0F">
        <w:t xml:space="preserve"> </w:t>
      </w:r>
      <w:r w:rsidR="00FF7CC3">
        <w:t xml:space="preserve"> </w:t>
      </w:r>
    </w:p>
    <w:p w14:paraId="18CD3103" w14:textId="10AEA7FE" w:rsidR="008F0CBF" w:rsidRDefault="002E0667" w:rsidP="00DE210D">
      <w:pPr>
        <w:pStyle w:val="MainBody0"/>
      </w:pPr>
      <w:r>
        <w:t>O</w:t>
      </w:r>
      <w:r w:rsidR="00E87F4E" w:rsidRPr="00E87F4E">
        <w:t xml:space="preserve">ver the past six years the English courts have seen the first cases in which claimants have alleged that company directors </w:t>
      </w:r>
      <w:r w:rsidR="008420B4">
        <w:t>managing a corporate</w:t>
      </w:r>
      <w:r w:rsidR="00E033D8">
        <w:t xml:space="preserve"> pension fund trustee </w:t>
      </w:r>
      <w:r w:rsidR="00E87F4E" w:rsidRPr="00E87F4E">
        <w:t xml:space="preserve">breached their duties by failing to </w:t>
      </w:r>
      <w:r w:rsidR="00032733">
        <w:t>act on</w:t>
      </w:r>
      <w:r w:rsidR="00E87F4E" w:rsidRPr="00E87F4E">
        <w:t xml:space="preserve"> climate change.</w:t>
      </w:r>
      <w:r w:rsidR="00E87F4E">
        <w:t xml:space="preserve"> </w:t>
      </w:r>
      <w:r w:rsidR="00664A80" w:rsidRPr="00664A80">
        <w:t xml:space="preserve">In </w:t>
      </w:r>
      <w:r w:rsidR="00664A80" w:rsidRPr="00664A80">
        <w:rPr>
          <w:i/>
          <w:iCs/>
        </w:rPr>
        <w:t>ClientEarth v Shell</w:t>
      </w:r>
      <w:r w:rsidR="00432375">
        <w:t>,</w:t>
      </w:r>
      <w:r w:rsidR="00CD7B88" w:rsidRPr="001C4185">
        <w:rPr>
          <w:rStyle w:val="FootnoteReference"/>
        </w:rPr>
        <w:footnoteReference w:id="19"/>
      </w:r>
      <w:r w:rsidR="00664A80" w:rsidRPr="00664A80">
        <w:t xml:space="preserve"> </w:t>
      </w:r>
      <w:r w:rsidR="00156904">
        <w:t xml:space="preserve">an environmental NGO alleged </w:t>
      </w:r>
      <w:r w:rsidR="00664A80" w:rsidRPr="00664A80">
        <w:t xml:space="preserve">that Shell’s directors breached their </w:t>
      </w:r>
      <w:r w:rsidR="00F30CF3">
        <w:t>duties</w:t>
      </w:r>
      <w:r w:rsidR="00664A80" w:rsidRPr="00664A80">
        <w:t xml:space="preserve"> by failing to adopt an adequate</w:t>
      </w:r>
      <w:r w:rsidR="00DA54A5">
        <w:t xml:space="preserve"> </w:t>
      </w:r>
      <w:bookmarkStart w:id="0" w:name="para2"/>
      <w:r w:rsidR="0060450D" w:rsidRPr="0060450D">
        <w:t>climate change risk management strategy</w:t>
      </w:r>
      <w:bookmarkEnd w:id="0"/>
      <w:r w:rsidR="00664A80" w:rsidRPr="00664A80">
        <w:t xml:space="preserve">. </w:t>
      </w:r>
      <w:r w:rsidR="006C13C0">
        <w:t>I</w:t>
      </w:r>
      <w:r w:rsidR="00664A80" w:rsidRPr="00664A80">
        <w:t xml:space="preserve">n </w:t>
      </w:r>
      <w:r w:rsidR="00664A80" w:rsidRPr="00664A80">
        <w:rPr>
          <w:i/>
          <w:iCs/>
        </w:rPr>
        <w:t>McGaughey v U</w:t>
      </w:r>
      <w:r w:rsidR="00675F5E">
        <w:rPr>
          <w:i/>
          <w:iCs/>
        </w:rPr>
        <w:t xml:space="preserve">niversities </w:t>
      </w:r>
      <w:r w:rsidR="00664A80" w:rsidRPr="00664A80">
        <w:rPr>
          <w:i/>
          <w:iCs/>
        </w:rPr>
        <w:t>S</w:t>
      </w:r>
      <w:r w:rsidR="00675F5E">
        <w:rPr>
          <w:i/>
          <w:iCs/>
        </w:rPr>
        <w:t xml:space="preserve">uperannuation </w:t>
      </w:r>
      <w:r w:rsidR="00664A80" w:rsidRPr="00664A80">
        <w:rPr>
          <w:i/>
          <w:iCs/>
        </w:rPr>
        <w:t>S</w:t>
      </w:r>
      <w:r w:rsidR="00675F5E">
        <w:rPr>
          <w:i/>
          <w:iCs/>
        </w:rPr>
        <w:t>cheme</w:t>
      </w:r>
      <w:r w:rsidR="00215ABD">
        <w:t>,</w:t>
      </w:r>
      <w:r w:rsidR="00CD7B88" w:rsidRPr="001C4185">
        <w:rPr>
          <w:rStyle w:val="FootnoteReference"/>
        </w:rPr>
        <w:footnoteReference w:id="20"/>
      </w:r>
      <w:r w:rsidR="00664A80" w:rsidRPr="00664A80">
        <w:t xml:space="preserve"> </w:t>
      </w:r>
      <w:r w:rsidR="00405551">
        <w:t xml:space="preserve">university pension fund members </w:t>
      </w:r>
      <w:r w:rsidR="00740EBF">
        <w:t>claimed</w:t>
      </w:r>
      <w:r w:rsidR="00664A80" w:rsidRPr="00664A80">
        <w:t xml:space="preserve"> that </w:t>
      </w:r>
      <w:r w:rsidR="008420BA">
        <w:t xml:space="preserve">the </w:t>
      </w:r>
      <w:r w:rsidR="00664A80" w:rsidRPr="00664A80">
        <w:t>fund</w:t>
      </w:r>
      <w:r w:rsidR="008420BA">
        <w:t>’s</w:t>
      </w:r>
      <w:r w:rsidR="00664A80" w:rsidRPr="00664A80">
        <w:t xml:space="preserve"> directors </w:t>
      </w:r>
      <w:r w:rsidR="0011272D">
        <w:t xml:space="preserve">acted in breach of duty </w:t>
      </w:r>
      <w:r w:rsidR="00664A80" w:rsidRPr="00664A80">
        <w:t xml:space="preserve">by failing to divest from fossil fuels, exposing </w:t>
      </w:r>
      <w:r w:rsidR="00E37FA6">
        <w:t xml:space="preserve">the </w:t>
      </w:r>
      <w:r w:rsidR="00F65667">
        <w:t>fund</w:t>
      </w:r>
      <w:r w:rsidR="00664A80" w:rsidRPr="00664A80">
        <w:t xml:space="preserve"> to</w:t>
      </w:r>
      <w:r w:rsidR="00A41E47">
        <w:t xml:space="preserve"> the</w:t>
      </w:r>
      <w:r w:rsidR="00664A80" w:rsidRPr="00664A80">
        <w:t xml:space="preserve"> financial risks associated with climate change.</w:t>
      </w:r>
      <w:r w:rsidR="008C6FE0">
        <w:t xml:space="preserve"> </w:t>
      </w:r>
      <w:r w:rsidR="00664A80">
        <w:t xml:space="preserve"> </w:t>
      </w:r>
    </w:p>
    <w:p w14:paraId="3EC63F70" w14:textId="5FE6EA08" w:rsidR="00D81C40" w:rsidRDefault="008C6FE0" w:rsidP="00DE210D">
      <w:pPr>
        <w:pStyle w:val="MainBody0"/>
      </w:pPr>
      <w:r>
        <w:t>In this lecture, I</w:t>
      </w:r>
      <w:r w:rsidRPr="00700937">
        <w:t xml:space="preserve"> reflect on </w:t>
      </w:r>
      <w:r>
        <w:t xml:space="preserve">these cases. </w:t>
      </w:r>
      <w:r w:rsidR="00CA3471">
        <w:t>T</w:t>
      </w:r>
      <w:r w:rsidR="001A2C84">
        <w:t>hey</w:t>
      </w:r>
      <w:r>
        <w:t xml:space="preserve"> </w:t>
      </w:r>
      <w:r w:rsidR="00F37851" w:rsidRPr="00F37851">
        <w:t xml:space="preserve">illustrate </w:t>
      </w:r>
      <w:r w:rsidR="00A7187B" w:rsidRPr="00A7187B">
        <w:t xml:space="preserve">the difficult issues that will arise as the courts begin to grapple with </w:t>
      </w:r>
      <w:r w:rsidR="00880DFA">
        <w:t xml:space="preserve">the interaction between </w:t>
      </w:r>
      <w:r w:rsidR="00E3710B">
        <w:t>directors’</w:t>
      </w:r>
      <w:r w:rsidR="007D61B1">
        <w:t xml:space="preserve"> duties</w:t>
      </w:r>
      <w:r w:rsidR="00880DFA">
        <w:t xml:space="preserve"> and </w:t>
      </w:r>
      <w:r w:rsidR="00880DFA" w:rsidRPr="00880DFA">
        <w:t xml:space="preserve">the evolving </w:t>
      </w:r>
      <w:r w:rsidR="00202E82">
        <w:t>political</w:t>
      </w:r>
      <w:r w:rsidR="00880DFA" w:rsidRPr="00880DFA">
        <w:t xml:space="preserve"> and </w:t>
      </w:r>
      <w:r w:rsidR="00202E82">
        <w:t xml:space="preserve">economic </w:t>
      </w:r>
      <w:r w:rsidR="00880DFA" w:rsidRPr="00880DFA">
        <w:t xml:space="preserve">landscape surrounding </w:t>
      </w:r>
      <w:r w:rsidR="007210F8">
        <w:t xml:space="preserve">corporate </w:t>
      </w:r>
      <w:r w:rsidR="00880DFA" w:rsidRPr="00880DFA">
        <w:t>environmental responsibility.</w:t>
      </w:r>
      <w:r w:rsidR="00712DF6">
        <w:t xml:space="preserve"> </w:t>
      </w:r>
    </w:p>
    <w:p w14:paraId="46DB4874" w14:textId="5A028466" w:rsidR="009C4030" w:rsidRDefault="009C4030" w:rsidP="009C4030">
      <w:pPr>
        <w:pStyle w:val="Heading1"/>
      </w:pPr>
      <w:r>
        <w:t>1. The legal framework</w:t>
      </w:r>
      <w:r w:rsidR="008B0284">
        <w:t xml:space="preserve"> for directors’ duties</w:t>
      </w:r>
      <w:r>
        <w:t xml:space="preserve">: </w:t>
      </w:r>
      <w:r w:rsidR="00F624AB">
        <w:t xml:space="preserve">The </w:t>
      </w:r>
      <w:r>
        <w:t>Compan</w:t>
      </w:r>
      <w:r w:rsidR="00F624AB">
        <w:t>ies</w:t>
      </w:r>
      <w:r>
        <w:t xml:space="preserve"> Act 2006</w:t>
      </w:r>
    </w:p>
    <w:p w14:paraId="1AEE936E" w14:textId="176F66CF" w:rsidR="002A796F" w:rsidRDefault="00285B2F" w:rsidP="00420F9A">
      <w:pPr>
        <w:pStyle w:val="MainBody0"/>
      </w:pPr>
      <w:r>
        <w:t xml:space="preserve">The Companies Act 2006 </w:t>
      </w:r>
      <w:r w:rsidR="00545381">
        <w:t xml:space="preserve">provides </w:t>
      </w:r>
      <w:r w:rsidR="00F81BDE" w:rsidRPr="00C6092A">
        <w:t>the legal framework for directors</w:t>
      </w:r>
      <w:r w:rsidR="00F81BDE">
        <w:t>’</w:t>
      </w:r>
      <w:r w:rsidR="00F81BDE" w:rsidRPr="00C6092A">
        <w:t xml:space="preserve"> duties in England &amp; Wales.</w:t>
      </w:r>
      <w:r>
        <w:t xml:space="preserve"> </w:t>
      </w:r>
      <w:r w:rsidR="003C4962">
        <w:t>Companies are considered legal persons</w:t>
      </w:r>
      <w:r w:rsidR="008A4DA3">
        <w:t xml:space="preserve"> in their own right</w:t>
      </w:r>
      <w:r w:rsidR="003C4962">
        <w:t xml:space="preserve">, distinct from </w:t>
      </w:r>
      <w:r w:rsidR="007A7288">
        <w:t xml:space="preserve">the </w:t>
      </w:r>
      <w:r w:rsidR="003C4962">
        <w:t xml:space="preserve">human agents who own </w:t>
      </w:r>
      <w:r w:rsidR="008E61E1">
        <w:t xml:space="preserve">and control </w:t>
      </w:r>
      <w:r w:rsidR="003C4962">
        <w:t>the</w:t>
      </w:r>
      <w:r w:rsidR="00F872CE">
        <w:t>m</w:t>
      </w:r>
      <w:r w:rsidR="003C4962">
        <w:t>.</w:t>
      </w:r>
      <w:r w:rsidR="00182049">
        <w:t xml:space="preserve"> </w:t>
      </w:r>
      <w:r w:rsidR="00957F49">
        <w:t xml:space="preserve">As artificial persons, companies rely on human </w:t>
      </w:r>
      <w:r w:rsidR="00A26F38">
        <w:t>agents</w:t>
      </w:r>
      <w:r w:rsidR="00957F49">
        <w:t xml:space="preserve"> to act for them</w:t>
      </w:r>
      <w:r w:rsidR="00A26F38">
        <w:t xml:space="preserve"> </w:t>
      </w:r>
      <w:r w:rsidR="008B243B">
        <w:t xml:space="preserve">and </w:t>
      </w:r>
      <w:r w:rsidR="00BC4834">
        <w:t>carry o</w:t>
      </w:r>
      <w:r w:rsidR="00C1524D">
        <w:t>n</w:t>
      </w:r>
      <w:r w:rsidR="00BC4834">
        <w:t xml:space="preserve"> </w:t>
      </w:r>
      <w:r w:rsidR="00FD15CF">
        <w:t xml:space="preserve">their </w:t>
      </w:r>
      <w:r w:rsidR="00BC4834">
        <w:t>business</w:t>
      </w:r>
      <w:r w:rsidR="00C1524D">
        <w:t>. These</w:t>
      </w:r>
      <w:r w:rsidR="002C166B">
        <w:t xml:space="preserve"> agents</w:t>
      </w:r>
      <w:r w:rsidR="00A26F38">
        <w:t xml:space="preserve"> </w:t>
      </w:r>
      <w:r w:rsidR="00C1524D">
        <w:t>include</w:t>
      </w:r>
      <w:r w:rsidR="00A677E3">
        <w:t>, most importantly,</w:t>
      </w:r>
      <w:r w:rsidR="0043080B">
        <w:t xml:space="preserve"> a company’s </w:t>
      </w:r>
      <w:r w:rsidR="003C4962">
        <w:t>directors</w:t>
      </w:r>
      <w:r w:rsidR="00645EC2">
        <w:t>.</w:t>
      </w:r>
      <w:r w:rsidR="003C4962">
        <w:t xml:space="preserve"> </w:t>
      </w:r>
    </w:p>
    <w:p w14:paraId="1C1274E6" w14:textId="0D52B120" w:rsidR="00566D99" w:rsidRDefault="00EB34C4" w:rsidP="00420F9A">
      <w:pPr>
        <w:pStyle w:val="MainBody0"/>
      </w:pPr>
      <w:r>
        <w:t>Th</w:t>
      </w:r>
      <w:r w:rsidR="00F7378A">
        <w:t>e</w:t>
      </w:r>
      <w:r>
        <w:t xml:space="preserve"> separation </w:t>
      </w:r>
      <w:r w:rsidR="002F7866">
        <w:t>of</w:t>
      </w:r>
      <w:r w:rsidR="00422E32">
        <w:t xml:space="preserve"> the </w:t>
      </w:r>
      <w:r w:rsidR="008A1BEB">
        <w:t xml:space="preserve">legal </w:t>
      </w:r>
      <w:r w:rsidR="00412836">
        <w:t xml:space="preserve">personality of the </w:t>
      </w:r>
      <w:r w:rsidR="00422E32">
        <w:t>company</w:t>
      </w:r>
      <w:r w:rsidR="00E30ED8">
        <w:t xml:space="preserve"> from its </w:t>
      </w:r>
      <w:r w:rsidR="00A677E3">
        <w:t>shareholders</w:t>
      </w:r>
      <w:r w:rsidR="00412836">
        <w:t xml:space="preserve"> and directors ha</w:t>
      </w:r>
      <w:r w:rsidR="00B02BF7">
        <w:t>s many advantages</w:t>
      </w:r>
      <w:r w:rsidR="009A561D">
        <w:t xml:space="preserve">. </w:t>
      </w:r>
      <w:r w:rsidR="002F7866">
        <w:t>I</w:t>
      </w:r>
      <w:r w:rsidR="009A561D">
        <w:t>t</w:t>
      </w:r>
      <w:r w:rsidR="00422E32">
        <w:t xml:space="preserve"> </w:t>
      </w:r>
      <w:r w:rsidRPr="005D3BBB">
        <w:t>means that the company can own assets, incur liabilities and enter into contracts independently</w:t>
      </w:r>
      <w:r>
        <w:t xml:space="preserve"> from any natural person, encouraging risk-taking and incentivising economic growth</w:t>
      </w:r>
      <w:r w:rsidRPr="005D3BBB">
        <w:t>.</w:t>
      </w:r>
      <w:r w:rsidR="0095214B">
        <w:t xml:space="preserve"> </w:t>
      </w:r>
      <w:r w:rsidR="0095214B" w:rsidRPr="0095214B">
        <w:t>The corporate structure</w:t>
      </w:r>
      <w:r w:rsidR="0095214B">
        <w:t xml:space="preserve"> also</w:t>
      </w:r>
      <w:r w:rsidR="0095214B" w:rsidRPr="0095214B">
        <w:t xml:space="preserve"> ensures continuity beyond the involvement of any single individual</w:t>
      </w:r>
      <w:r w:rsidR="003F2B57">
        <w:t>, as</w:t>
      </w:r>
      <w:r w:rsidR="0095214B" w:rsidRPr="0095214B">
        <w:t xml:space="preserve"> </w:t>
      </w:r>
      <w:r w:rsidR="003F2B57">
        <w:t>d</w:t>
      </w:r>
      <w:r w:rsidR="0095214B" w:rsidRPr="0095214B">
        <w:t>irectors can be replaced or appointed without disrupting the company</w:t>
      </w:r>
      <w:r w:rsidR="004F458A">
        <w:t>’</w:t>
      </w:r>
      <w:r w:rsidR="0095214B" w:rsidRPr="0095214B">
        <w:t xml:space="preserve">s operations. </w:t>
      </w:r>
      <w:r w:rsidR="009B63B8">
        <w:t>Similarly, t</w:t>
      </w:r>
      <w:r w:rsidR="00394E56">
        <w:t>he l</w:t>
      </w:r>
      <w:r w:rsidR="00DD1259">
        <w:t>arge p</w:t>
      </w:r>
      <w:r w:rsidR="00F6003C">
        <w:t>ublic</w:t>
      </w:r>
      <w:r w:rsidR="00520B4D">
        <w:t>ly</w:t>
      </w:r>
      <w:r w:rsidR="00F6003C">
        <w:t xml:space="preserve"> </w:t>
      </w:r>
      <w:r w:rsidR="00DD1259">
        <w:t>listed</w:t>
      </w:r>
      <w:r w:rsidR="00DD1259" w:rsidRPr="004E5396">
        <w:t xml:space="preserve"> </w:t>
      </w:r>
      <w:r w:rsidR="004E5396" w:rsidRPr="004E5396">
        <w:t>companies</w:t>
      </w:r>
      <w:r w:rsidR="00DD1259">
        <w:t xml:space="preserve"> </w:t>
      </w:r>
      <w:r w:rsidR="00394E56">
        <w:t xml:space="preserve">which dominate modern </w:t>
      </w:r>
      <w:r w:rsidR="00F32732">
        <w:lastRenderedPageBreak/>
        <w:t>economic</w:t>
      </w:r>
      <w:r w:rsidR="00394E56">
        <w:t xml:space="preserve"> life </w:t>
      </w:r>
      <w:r w:rsidR="00DD1259">
        <w:t xml:space="preserve">are owned by </w:t>
      </w:r>
      <w:r w:rsidR="004E5396" w:rsidRPr="004E5396">
        <w:t>shareholders</w:t>
      </w:r>
      <w:r w:rsidR="00E15B19">
        <w:t xml:space="preserve">, </w:t>
      </w:r>
      <w:r w:rsidR="00F91C0E">
        <w:t>sometimes</w:t>
      </w:r>
      <w:r w:rsidR="00E15B19">
        <w:t xml:space="preserve"> numbering in their millions,</w:t>
      </w:r>
      <w:r w:rsidR="00F6003C">
        <w:t xml:space="preserve"> </w:t>
      </w:r>
      <w:r w:rsidR="00E920A1">
        <w:t>and it would be impossible for the</w:t>
      </w:r>
      <w:r w:rsidR="00A43EB4">
        <w:t xml:space="preserve">m to </w:t>
      </w:r>
      <w:r w:rsidR="00A43EB4" w:rsidRPr="00A43EB4">
        <w:t xml:space="preserve">manage </w:t>
      </w:r>
      <w:r w:rsidR="00A43EB4">
        <w:t>the</w:t>
      </w:r>
      <w:r w:rsidR="008B1EAF">
        <w:t xml:space="preserve"> company’s</w:t>
      </w:r>
      <w:r w:rsidR="00A43EB4">
        <w:t xml:space="preserve"> day-to-day </w:t>
      </w:r>
      <w:r w:rsidR="00A43EB4" w:rsidRPr="00A43EB4">
        <w:t>operations</w:t>
      </w:r>
      <w:r w:rsidR="00E920A1">
        <w:t xml:space="preserve"> </w:t>
      </w:r>
      <w:r w:rsidR="00FE0AC0">
        <w:t>collectively.</w:t>
      </w:r>
      <w:r w:rsidR="00E920A1">
        <w:t xml:space="preserve"> </w:t>
      </w:r>
      <w:r w:rsidR="00FE76CD">
        <w:t>I</w:t>
      </w:r>
      <w:r w:rsidR="0095706B">
        <w:t>nstead, it</w:t>
      </w:r>
      <w:r w:rsidR="00FE76CD">
        <w:t xml:space="preserve"> is </w:t>
      </w:r>
      <w:r w:rsidR="00A73AB8">
        <w:t xml:space="preserve">the </w:t>
      </w:r>
      <w:r w:rsidR="00FE76CD">
        <w:t>d</w:t>
      </w:r>
      <w:r w:rsidR="004E5396" w:rsidRPr="004E5396">
        <w:t>irectors</w:t>
      </w:r>
      <w:r w:rsidR="00A97107">
        <w:t xml:space="preserve">, </w:t>
      </w:r>
      <w:r w:rsidR="004E5396" w:rsidRPr="004E5396">
        <w:t>act</w:t>
      </w:r>
      <w:r w:rsidR="00FE76CD">
        <w:t xml:space="preserve">ing </w:t>
      </w:r>
      <w:r w:rsidR="004E5396" w:rsidRPr="004E5396">
        <w:t xml:space="preserve">as </w:t>
      </w:r>
      <w:r w:rsidR="00FE76CD">
        <w:t xml:space="preserve">the company’s </w:t>
      </w:r>
      <w:r w:rsidR="004E5396" w:rsidRPr="004E5396">
        <w:t>agents</w:t>
      </w:r>
      <w:r w:rsidR="00A97107">
        <w:t xml:space="preserve">, </w:t>
      </w:r>
      <w:r w:rsidR="004E5396" w:rsidRPr="004E5396">
        <w:t xml:space="preserve">who run the business on behalf of shareholders. </w:t>
      </w:r>
    </w:p>
    <w:p w14:paraId="56368988" w14:textId="51465DE9" w:rsidR="00420F9A" w:rsidRDefault="00CF7448" w:rsidP="00420F9A">
      <w:pPr>
        <w:pStyle w:val="MainBody0"/>
      </w:pPr>
      <w:r>
        <w:t xml:space="preserve">However, </w:t>
      </w:r>
      <w:r w:rsidR="00CD7DC8">
        <w:t xml:space="preserve">the corporate structure also </w:t>
      </w:r>
      <w:r w:rsidR="00C853F9">
        <w:t>carries</w:t>
      </w:r>
      <w:r w:rsidR="00CD7DC8">
        <w:t xml:space="preserve"> risk</w:t>
      </w:r>
      <w:r w:rsidR="000D45E0">
        <w:t>s</w:t>
      </w:r>
      <w:r w:rsidR="00246BA9">
        <w:t>, as</w:t>
      </w:r>
      <w:r w:rsidR="00246BA9" w:rsidRPr="00246BA9">
        <w:t xml:space="preserve"> directors may prioriti</w:t>
      </w:r>
      <w:r w:rsidR="003E2B4B">
        <w:t>s</w:t>
      </w:r>
      <w:r w:rsidR="00246BA9" w:rsidRPr="00246BA9">
        <w:t>e their own interests over those of the company</w:t>
      </w:r>
      <w:r w:rsidR="00B5616B">
        <w:t xml:space="preserve">, </w:t>
      </w:r>
      <w:r w:rsidR="00533087">
        <w:t>or</w:t>
      </w:r>
      <w:r w:rsidR="00EC364E">
        <w:t xml:space="preserve"> act negligently by</w:t>
      </w:r>
      <w:r w:rsidR="00533087">
        <w:t xml:space="preserve"> </w:t>
      </w:r>
      <w:r w:rsidR="00246BA9" w:rsidRPr="00246BA9">
        <w:t>fail</w:t>
      </w:r>
      <w:r w:rsidR="00EC364E">
        <w:t xml:space="preserve">ing </w:t>
      </w:r>
      <w:r w:rsidR="00246BA9" w:rsidRPr="00246BA9">
        <w:t xml:space="preserve">to exercise proper oversight, leading to financial mismanagement </w:t>
      </w:r>
      <w:r w:rsidR="006F1751">
        <w:t xml:space="preserve">and </w:t>
      </w:r>
      <w:r w:rsidR="008239CA">
        <w:t>disastrous</w:t>
      </w:r>
      <w:r w:rsidR="00203699">
        <w:t xml:space="preserve"> </w:t>
      </w:r>
      <w:r w:rsidR="00AA716C">
        <w:t xml:space="preserve">consequences </w:t>
      </w:r>
      <w:r w:rsidR="006F1751">
        <w:t>for the company.</w:t>
      </w:r>
      <w:r w:rsidR="0089373F">
        <w:t xml:space="preserve"> </w:t>
      </w:r>
      <w:r w:rsidR="002B6854">
        <w:t xml:space="preserve">This is a problem as old as the </w:t>
      </w:r>
      <w:r w:rsidR="00566D99">
        <w:t xml:space="preserve">idea of the </w:t>
      </w:r>
      <w:r w:rsidR="002B6854">
        <w:t>company itself.</w:t>
      </w:r>
      <w:r w:rsidR="00CC6E7B">
        <w:t xml:space="preserve"> </w:t>
      </w:r>
      <w:r w:rsidR="00013B52" w:rsidRPr="00013B52">
        <w:t>In the eighteenth century, when limited liability companies (</w:t>
      </w:r>
      <w:r w:rsidR="00F945D7">
        <w:t xml:space="preserve">then </w:t>
      </w:r>
      <w:r w:rsidR="00013B52" w:rsidRPr="00013B52">
        <w:t xml:space="preserve">called ‘joint stock companies’) were beginning to emerge as </w:t>
      </w:r>
      <w:r w:rsidR="00683939">
        <w:t>the</w:t>
      </w:r>
      <w:r w:rsidR="00013B52" w:rsidRPr="00013B52">
        <w:t xml:space="preserve"> dominant business structure, the Scottish economist Adam Smith argued that</w:t>
      </w:r>
      <w:r w:rsidR="0039019A">
        <w:t>:</w:t>
      </w:r>
    </w:p>
    <w:p w14:paraId="37EB1967" w14:textId="3DD482E8" w:rsidR="0058455B" w:rsidRDefault="00551A85" w:rsidP="0039019A">
      <w:pPr>
        <w:pStyle w:val="Quote"/>
      </w:pPr>
      <w:r>
        <w:t>‘</w:t>
      </w:r>
      <w:r w:rsidR="005D6406">
        <w:t>T</w:t>
      </w:r>
      <w:r w:rsidR="0039019A" w:rsidRPr="0039019A">
        <w:t>he directors of such companies</w:t>
      </w:r>
      <w:r w:rsidR="0053250B">
        <w:t>,</w:t>
      </w:r>
      <w:r>
        <w:t xml:space="preserve"> </w:t>
      </w:r>
      <w:r w:rsidR="0039019A" w:rsidRPr="0039019A">
        <w:t>being the managers of other people</w:t>
      </w:r>
      <w:r w:rsidR="009507CB">
        <w:t>’</w:t>
      </w:r>
      <w:r w:rsidR="0039019A" w:rsidRPr="0039019A">
        <w:t xml:space="preserve">s money </w:t>
      </w:r>
      <w:r w:rsidR="00C74CEA">
        <w:t xml:space="preserve">rather </w:t>
      </w:r>
      <w:r w:rsidR="0039019A" w:rsidRPr="0039019A">
        <w:t xml:space="preserve">than of their own, </w:t>
      </w:r>
      <w:r w:rsidR="00F86B1F">
        <w:t xml:space="preserve">cannot be expected to </w:t>
      </w:r>
      <w:r w:rsidR="0039019A" w:rsidRPr="0039019A">
        <w:t xml:space="preserve">watch over it with the same anxious vigilance with which the partners in a private </w:t>
      </w:r>
      <w:r w:rsidR="0030416B">
        <w:t>partnership</w:t>
      </w:r>
      <w:r w:rsidR="0039019A" w:rsidRPr="0039019A">
        <w:t xml:space="preserve"> frequently watch over their</w:t>
      </w:r>
      <w:r w:rsidR="0024242D">
        <w:t xml:space="preserve">s. </w:t>
      </w:r>
      <w:r w:rsidR="0039019A" w:rsidRPr="0039019A">
        <w:t>Negligence and profusion, therefore, must always prevail, more or less, in the management of the affairs of such a company.</w:t>
      </w:r>
      <w:r w:rsidR="00697A55">
        <w:t>’</w:t>
      </w:r>
      <w:r w:rsidR="001B1F48" w:rsidRPr="001C4185">
        <w:rPr>
          <w:rStyle w:val="FootnoteReference"/>
        </w:rPr>
        <w:footnoteReference w:id="21"/>
      </w:r>
    </w:p>
    <w:p w14:paraId="39B7AF1E" w14:textId="22E5F602" w:rsidR="00591D29" w:rsidRDefault="00895942" w:rsidP="0038786A">
      <w:pPr>
        <w:pStyle w:val="MainBody0"/>
      </w:pPr>
      <w:r>
        <w:t>Academics</w:t>
      </w:r>
      <w:r w:rsidR="00DA04FE">
        <w:t xml:space="preserve"> continue to debate whether Smith was right that </w:t>
      </w:r>
      <w:r w:rsidR="00DC3D99">
        <w:t xml:space="preserve">a </w:t>
      </w:r>
      <w:r w:rsidR="005773CD">
        <w:t xml:space="preserve">director will always run a company </w:t>
      </w:r>
      <w:r w:rsidR="001536C4">
        <w:t xml:space="preserve">with less diligence </w:t>
      </w:r>
      <w:r w:rsidR="0010054B">
        <w:t xml:space="preserve">than a partner </w:t>
      </w:r>
      <w:r w:rsidR="00A60D1F">
        <w:t>with</w:t>
      </w:r>
      <w:r w:rsidR="002E5819">
        <w:t xml:space="preserve"> </w:t>
      </w:r>
      <w:r w:rsidR="002B7263">
        <w:t>personal</w:t>
      </w:r>
      <w:r w:rsidR="0010054B">
        <w:t xml:space="preserve"> liability</w:t>
      </w:r>
      <w:r w:rsidR="002E5819">
        <w:t xml:space="preserve"> </w:t>
      </w:r>
      <w:r w:rsidR="008E38EB">
        <w:t>for</w:t>
      </w:r>
      <w:r w:rsidR="001745CC">
        <w:t xml:space="preserve"> </w:t>
      </w:r>
      <w:r w:rsidR="00D17844">
        <w:t>a company’s assets</w:t>
      </w:r>
      <w:r w:rsidR="00AB7315">
        <w:t>,</w:t>
      </w:r>
      <w:r w:rsidR="0044284D" w:rsidRPr="001C4185">
        <w:rPr>
          <w:rStyle w:val="FootnoteReference"/>
        </w:rPr>
        <w:footnoteReference w:id="22"/>
      </w:r>
      <w:r w:rsidR="0010054B">
        <w:t xml:space="preserve"> but it is undeniable that </w:t>
      </w:r>
      <w:r w:rsidR="00EB2F8A">
        <w:t>directors</w:t>
      </w:r>
      <w:r w:rsidR="004F3BCF">
        <w:t xml:space="preserve"> may</w:t>
      </w:r>
      <w:r w:rsidR="00881543">
        <w:t xml:space="preserve"> potentially</w:t>
      </w:r>
      <w:r w:rsidR="004F3BCF">
        <w:t xml:space="preserve"> abuse their position</w:t>
      </w:r>
      <w:r w:rsidR="0010054B">
        <w:t xml:space="preserve">. </w:t>
      </w:r>
      <w:r w:rsidR="0089373F">
        <w:t xml:space="preserve">English law </w:t>
      </w:r>
      <w:r w:rsidR="007F7FEE">
        <w:t>has long recognised th</w:t>
      </w:r>
      <w:r w:rsidR="00F7732B">
        <w:t>is risk</w:t>
      </w:r>
      <w:r w:rsidR="007F7FEE">
        <w:t xml:space="preserve"> </w:t>
      </w:r>
      <w:r w:rsidR="00D2409C">
        <w:t xml:space="preserve">and </w:t>
      </w:r>
      <w:r w:rsidR="00A60D1F">
        <w:t xml:space="preserve">has </w:t>
      </w:r>
      <w:r w:rsidR="00807898">
        <w:t xml:space="preserve">addressed </w:t>
      </w:r>
      <w:r w:rsidR="00205857">
        <w:t>it</w:t>
      </w:r>
      <w:r w:rsidR="007F7FEE">
        <w:t xml:space="preserve"> by </w:t>
      </w:r>
      <w:r w:rsidR="00A26593">
        <w:t>plac</w:t>
      </w:r>
      <w:r w:rsidR="00875B2B">
        <w:t>ing</w:t>
      </w:r>
      <w:r w:rsidR="00A26593">
        <w:t xml:space="preserve"> </w:t>
      </w:r>
      <w:r w:rsidR="00F50E24">
        <w:t xml:space="preserve">enforceable duties </w:t>
      </w:r>
      <w:r w:rsidR="0023161C">
        <w:t>on directors</w:t>
      </w:r>
      <w:r w:rsidR="00F50E24">
        <w:t xml:space="preserve">. </w:t>
      </w:r>
      <w:r w:rsidR="00D648CD">
        <w:t xml:space="preserve">These duties </w:t>
      </w:r>
      <w:r w:rsidR="00080960">
        <w:t>were established gradually through the common law and equity,</w:t>
      </w:r>
      <w:r w:rsidR="00C76FD7">
        <w:t xml:space="preserve"> a</w:t>
      </w:r>
      <w:r w:rsidR="00203E72">
        <w:t xml:space="preserve">nd </w:t>
      </w:r>
      <w:r w:rsidR="00E029CC">
        <w:t xml:space="preserve">originally </w:t>
      </w:r>
      <w:r w:rsidR="00B10A9F">
        <w:t xml:space="preserve">derived from </w:t>
      </w:r>
      <w:r w:rsidR="00C76FD7" w:rsidRPr="00C76FD7">
        <w:t>the duties a trustee owe</w:t>
      </w:r>
      <w:r w:rsidR="00A0430E">
        <w:t>s</w:t>
      </w:r>
      <w:r w:rsidR="00C76FD7" w:rsidRPr="00C76FD7">
        <w:t xml:space="preserve"> to the beneficiaries of a trust.</w:t>
      </w:r>
      <w:r w:rsidR="003B53C9">
        <w:t xml:space="preserve"> </w:t>
      </w:r>
      <w:r w:rsidR="00ED6B0C">
        <w:t>Th</w:t>
      </w:r>
      <w:r w:rsidR="00DD7A51">
        <w:t xml:space="preserve">is connection to </w:t>
      </w:r>
      <w:r w:rsidR="00ED6B0C">
        <w:t xml:space="preserve">trust law is </w:t>
      </w:r>
      <w:r w:rsidR="006450EF">
        <w:t xml:space="preserve">why many </w:t>
      </w:r>
      <w:r w:rsidR="00A10DF9">
        <w:t xml:space="preserve">directors’ </w:t>
      </w:r>
      <w:r w:rsidR="006450EF">
        <w:t>duties are ‘fiduciary’</w:t>
      </w:r>
      <w:r w:rsidR="00A10DF9">
        <w:t xml:space="preserve"> in nature, </w:t>
      </w:r>
      <w:r w:rsidR="00F62A7C">
        <w:t>characterised by their obligation of loyalty to the company</w:t>
      </w:r>
      <w:r w:rsidR="006450EF">
        <w:t>.</w:t>
      </w:r>
      <w:r w:rsidR="00F62A7C" w:rsidRPr="001C4185">
        <w:rPr>
          <w:rStyle w:val="FootnoteReference"/>
        </w:rPr>
        <w:footnoteReference w:id="23"/>
      </w:r>
      <w:r w:rsidR="006450EF">
        <w:t xml:space="preserve"> </w:t>
      </w:r>
      <w:r w:rsidR="00636C2F">
        <w:t>Directors</w:t>
      </w:r>
      <w:r w:rsidR="007B19EA">
        <w:t>’</w:t>
      </w:r>
      <w:r w:rsidR="00636C2F">
        <w:t xml:space="preserve"> </w:t>
      </w:r>
      <w:r w:rsidR="003B53C9">
        <w:t>duties</w:t>
      </w:r>
      <w:r w:rsidR="00080960">
        <w:t xml:space="preserve"> </w:t>
      </w:r>
      <w:r w:rsidR="0038786A">
        <w:t>have</w:t>
      </w:r>
      <w:r w:rsidR="00EE13A3">
        <w:t xml:space="preserve"> now</w:t>
      </w:r>
      <w:r w:rsidR="00501091">
        <w:t xml:space="preserve"> </w:t>
      </w:r>
      <w:r w:rsidR="0038786A">
        <w:t xml:space="preserve">been </w:t>
      </w:r>
      <w:r w:rsidR="00501091">
        <w:t>codified in Part 10 of the Companies Act</w:t>
      </w:r>
      <w:r w:rsidR="00614BE2">
        <w:t xml:space="preserve"> 2006</w:t>
      </w:r>
      <w:r w:rsidR="00636C2F">
        <w:t xml:space="preserve">, </w:t>
      </w:r>
      <w:r w:rsidR="0005075A" w:rsidRPr="0005075A">
        <w:t xml:space="preserve">the </w:t>
      </w:r>
      <w:r w:rsidR="00846AD9">
        <w:t>result</w:t>
      </w:r>
      <w:r w:rsidR="0005075A" w:rsidRPr="0005075A">
        <w:t xml:space="preserve"> of a </w:t>
      </w:r>
      <w:r w:rsidR="00FA3168">
        <w:t>major</w:t>
      </w:r>
      <w:r w:rsidR="0005075A" w:rsidRPr="0005075A">
        <w:t xml:space="preserve"> law reform </w:t>
      </w:r>
      <w:r w:rsidR="00FA3168">
        <w:t>programme</w:t>
      </w:r>
      <w:r w:rsidR="0005075A" w:rsidRPr="0005075A">
        <w:t xml:space="preserve"> led by the Law Commission, aimed at clarifying </w:t>
      </w:r>
      <w:r w:rsidR="00F42D01">
        <w:t xml:space="preserve">what was expected of </w:t>
      </w:r>
      <w:r w:rsidR="0005075A" w:rsidRPr="0005075A">
        <w:t>directors</w:t>
      </w:r>
      <w:r w:rsidR="00F42D01">
        <w:t xml:space="preserve"> </w:t>
      </w:r>
      <w:r w:rsidR="0005075A" w:rsidRPr="0005075A">
        <w:t>and making the law more accessible</w:t>
      </w:r>
      <w:r w:rsidR="00532EE7">
        <w:t>.</w:t>
      </w:r>
      <w:r w:rsidR="00915A9A" w:rsidRPr="001C4185">
        <w:rPr>
          <w:rStyle w:val="FootnoteReference"/>
        </w:rPr>
        <w:footnoteReference w:id="24"/>
      </w:r>
      <w:r w:rsidR="00DB7142">
        <w:t xml:space="preserve"> </w:t>
      </w:r>
      <w:r w:rsidR="00AE3984">
        <w:t>T</w:t>
      </w:r>
      <w:r w:rsidR="00614BE2">
        <w:t xml:space="preserve">he </w:t>
      </w:r>
      <w:r w:rsidR="001D0E9C">
        <w:t xml:space="preserve">Companies </w:t>
      </w:r>
      <w:r w:rsidR="005F718E">
        <w:t xml:space="preserve">Act places a </w:t>
      </w:r>
      <w:r w:rsidR="00F8072A">
        <w:t>number of general</w:t>
      </w:r>
      <w:r w:rsidR="005F718E">
        <w:t xml:space="preserve"> duties </w:t>
      </w:r>
      <w:r w:rsidR="00F8072A">
        <w:t>on directors, including to act within their powers</w:t>
      </w:r>
      <w:r w:rsidR="00594470" w:rsidRPr="001C4185">
        <w:rPr>
          <w:rStyle w:val="FootnoteReference"/>
        </w:rPr>
        <w:footnoteReference w:id="25"/>
      </w:r>
      <w:r w:rsidR="00F8072A">
        <w:t xml:space="preserve"> and </w:t>
      </w:r>
      <w:r w:rsidR="0015236E">
        <w:t>to avoid conflicts of interest</w:t>
      </w:r>
      <w:r w:rsidR="00670C54">
        <w:t>.</w:t>
      </w:r>
      <w:r w:rsidR="006015B7" w:rsidRPr="001C4185">
        <w:rPr>
          <w:rStyle w:val="FootnoteReference"/>
        </w:rPr>
        <w:footnoteReference w:id="26"/>
      </w:r>
      <w:r w:rsidR="0015236E">
        <w:t xml:space="preserve"> </w:t>
      </w:r>
    </w:p>
    <w:p w14:paraId="458843F4" w14:textId="27C7DB22" w:rsidR="00B54664" w:rsidRDefault="00591D29" w:rsidP="00D81A38">
      <w:pPr>
        <w:pStyle w:val="MainBody0"/>
      </w:pPr>
      <w:r>
        <w:t>Th</w:t>
      </w:r>
      <w:r w:rsidR="0015236E">
        <w:t xml:space="preserve">ere are </w:t>
      </w:r>
      <w:r w:rsidR="004B05E0">
        <w:t>two</w:t>
      </w:r>
      <w:r w:rsidR="0015236E">
        <w:t xml:space="preserve"> </w:t>
      </w:r>
      <w:r w:rsidR="001C0286">
        <w:t>sets of duties</w:t>
      </w:r>
      <w:r w:rsidR="0015236E">
        <w:t xml:space="preserve"> </w:t>
      </w:r>
      <w:r w:rsidR="004768AE">
        <w:t xml:space="preserve">particularly relevant </w:t>
      </w:r>
      <w:r w:rsidR="0015236E">
        <w:t xml:space="preserve">to climate change. </w:t>
      </w:r>
      <w:r w:rsidR="00892837">
        <w:t xml:space="preserve">First, </w:t>
      </w:r>
      <w:r w:rsidR="00F678D3">
        <w:t>s</w:t>
      </w:r>
      <w:r w:rsidR="00F678D3" w:rsidRPr="00F678D3">
        <w:t xml:space="preserve">ection 172 </w:t>
      </w:r>
      <w:r w:rsidR="00D4593A">
        <w:t>provides</w:t>
      </w:r>
      <w:r w:rsidR="00AC4342">
        <w:t xml:space="preserve"> that</w:t>
      </w:r>
      <w:r w:rsidR="00D4593A">
        <w:t xml:space="preserve"> </w:t>
      </w:r>
      <w:r w:rsidR="0095225C">
        <w:t>a</w:t>
      </w:r>
      <w:r w:rsidR="0095225C" w:rsidRPr="0095225C">
        <w:t xml:space="preserve"> director must act in the way he considers, in good faith, would be most likely to promote the success of the company for the benefit of its members as a whole</w:t>
      </w:r>
      <w:r w:rsidR="00D45FEC">
        <w:t xml:space="preserve">. </w:t>
      </w:r>
      <w:r w:rsidR="00543A78">
        <w:t>T</w:t>
      </w:r>
      <w:r w:rsidR="00D07C19">
        <w:t xml:space="preserve">he test </w:t>
      </w:r>
      <w:r w:rsidR="000A37FF">
        <w:t>to be applied in relation to th</w:t>
      </w:r>
      <w:r w:rsidR="00AE3984">
        <w:t>is</w:t>
      </w:r>
      <w:r w:rsidR="000A37FF">
        <w:t xml:space="preserve"> duty </w:t>
      </w:r>
      <w:r w:rsidR="000A37FF" w:rsidRPr="000A37FF">
        <w:t>is normally subjective</w:t>
      </w:r>
      <w:r w:rsidR="000A37FF">
        <w:t>.</w:t>
      </w:r>
      <w:r w:rsidR="004503B0" w:rsidRPr="001C4185">
        <w:rPr>
          <w:rStyle w:val="FootnoteReference"/>
        </w:rPr>
        <w:footnoteReference w:id="27"/>
      </w:r>
      <w:r w:rsidR="000A37FF">
        <w:t xml:space="preserve"> This follows the </w:t>
      </w:r>
      <w:r w:rsidR="00323F6B">
        <w:t>common law</w:t>
      </w:r>
      <w:r w:rsidR="007D65C6">
        <w:t xml:space="preserve"> position</w:t>
      </w:r>
      <w:r w:rsidR="00422F78" w:rsidRPr="00422F78">
        <w:t xml:space="preserve">, </w:t>
      </w:r>
      <w:r w:rsidR="005E595C">
        <w:t>as articulated by</w:t>
      </w:r>
      <w:r w:rsidR="00422F78" w:rsidRPr="00422F78">
        <w:t xml:space="preserve"> Lord Greene MR in </w:t>
      </w:r>
      <w:r w:rsidR="00422F78" w:rsidRPr="00422F78">
        <w:rPr>
          <w:i/>
          <w:iCs/>
        </w:rPr>
        <w:t>Re Smith and Fawcett Ltd</w:t>
      </w:r>
      <w:r w:rsidR="00E35D84">
        <w:t>, that directors</w:t>
      </w:r>
      <w:r w:rsidR="00422F78" w:rsidRPr="00422F78">
        <w:t xml:space="preserve"> </w:t>
      </w:r>
      <w:r w:rsidR="00E35D84">
        <w:t>“</w:t>
      </w:r>
      <w:r w:rsidR="00422F78" w:rsidRPr="00422F78">
        <w:t xml:space="preserve">must </w:t>
      </w:r>
      <w:r w:rsidR="00422F78" w:rsidRPr="00422F78">
        <w:lastRenderedPageBreak/>
        <w:t>exercise their discretion bona fide in what they consider—not what a court may consider—is in the interests of the company</w:t>
      </w:r>
      <w:r w:rsidR="00C72E49">
        <w:t>”</w:t>
      </w:r>
      <w:r w:rsidR="00A43B24">
        <w:t>.</w:t>
      </w:r>
      <w:r w:rsidR="00C72E49" w:rsidRPr="001C4185">
        <w:rPr>
          <w:rStyle w:val="FootnoteReference"/>
        </w:rPr>
        <w:footnoteReference w:id="28"/>
      </w:r>
      <w:r w:rsidR="000A37FF" w:rsidRPr="000A37FF">
        <w:t xml:space="preserve"> </w:t>
      </w:r>
      <w:r w:rsidR="00C72E49">
        <w:t xml:space="preserve">Thus, the </w:t>
      </w:r>
      <w:r w:rsidR="008E7502">
        <w:t xml:space="preserve">primary </w:t>
      </w:r>
      <w:r w:rsidR="00C72E49">
        <w:t xml:space="preserve">question for the </w:t>
      </w:r>
      <w:r w:rsidR="000A37FF" w:rsidRPr="000A37FF">
        <w:t xml:space="preserve">court </w:t>
      </w:r>
      <w:r w:rsidR="00C72E49">
        <w:t>is</w:t>
      </w:r>
      <w:r w:rsidR="00A9084B" w:rsidRPr="00A9084B">
        <w:t xml:space="preserve"> </w:t>
      </w:r>
      <w:r w:rsidR="00A9084B">
        <w:t xml:space="preserve">“whether </w:t>
      </w:r>
      <w:r w:rsidR="00A9084B" w:rsidRPr="00A9084B">
        <w:t>the particular director believe</w:t>
      </w:r>
      <w:r w:rsidR="00276EBA">
        <w:t>s</w:t>
      </w:r>
      <w:r w:rsidR="00A9084B" w:rsidRPr="00A9084B">
        <w:t xml:space="preserve"> his actions were in the interests of the company, not whether with the benefit of hindsight the court finds it was not in the interests of the company or what the court might have done in the director’s place</w:t>
      </w:r>
      <w:r w:rsidR="0094641C">
        <w:t>”</w:t>
      </w:r>
      <w:r w:rsidR="000A37FF" w:rsidRPr="000A37FF">
        <w:t>.</w:t>
      </w:r>
      <w:r w:rsidR="0094641C" w:rsidRPr="001C4185">
        <w:rPr>
          <w:rStyle w:val="FootnoteReference"/>
        </w:rPr>
        <w:footnoteReference w:id="29"/>
      </w:r>
      <w:r w:rsidR="000A37FF" w:rsidRPr="000A37FF">
        <w:t xml:space="preserve"> </w:t>
      </w:r>
      <w:r w:rsidR="00843E6C">
        <w:t>T</w:t>
      </w:r>
      <w:r w:rsidR="00A53C73">
        <w:t>h</w:t>
      </w:r>
      <w:r w:rsidR="00843E6C">
        <w:t>is</w:t>
      </w:r>
      <w:r w:rsidR="00A53C73">
        <w:t xml:space="preserve"> subjective test </w:t>
      </w:r>
      <w:r w:rsidR="00897BC7">
        <w:t xml:space="preserve">creates </w:t>
      </w:r>
      <w:r w:rsidR="00A53C73">
        <w:t xml:space="preserve">a high hurdle </w:t>
      </w:r>
      <w:r w:rsidR="00792902">
        <w:t>for claimants alleging a breach of duty</w:t>
      </w:r>
      <w:r w:rsidR="00403F97">
        <w:t xml:space="preserve"> in the domain of climate </w:t>
      </w:r>
      <w:r w:rsidR="005C0DB5">
        <w:t>risk</w:t>
      </w:r>
      <w:r w:rsidR="0053250B">
        <w:t>,</w:t>
      </w:r>
      <w:r w:rsidR="004313EA">
        <w:t xml:space="preserve"> </w:t>
      </w:r>
      <w:r w:rsidR="00843E6C">
        <w:t>because</w:t>
      </w:r>
      <w:r w:rsidR="004313EA">
        <w:t xml:space="preserve"> </w:t>
      </w:r>
      <w:r w:rsidR="00A45F06">
        <w:t xml:space="preserve">generally </w:t>
      </w:r>
      <w:r w:rsidR="004313EA">
        <w:t xml:space="preserve">so long as directors consider </w:t>
      </w:r>
      <w:r w:rsidR="00DA4140">
        <w:t xml:space="preserve">the implications of </w:t>
      </w:r>
      <w:r w:rsidR="004313EA">
        <w:t>climate change in good faith there will be no</w:t>
      </w:r>
      <w:r w:rsidR="0053250B">
        <w:t xml:space="preserve"> breach</w:t>
      </w:r>
      <w:r w:rsidR="00792902">
        <w:t xml:space="preserve">. </w:t>
      </w:r>
      <w:r w:rsidR="000A37FF" w:rsidRPr="000A37FF">
        <w:t xml:space="preserve">However, </w:t>
      </w:r>
      <w:r w:rsidR="007F0A2C">
        <w:t xml:space="preserve">the </w:t>
      </w:r>
      <w:r w:rsidR="0058695C">
        <w:t xml:space="preserve">subjective </w:t>
      </w:r>
      <w:r w:rsidR="007F0A2C">
        <w:t xml:space="preserve">test is transformed into an objective one </w:t>
      </w:r>
      <w:r w:rsidR="000A37FF" w:rsidRPr="000A37FF">
        <w:t>where a director has</w:t>
      </w:r>
      <w:r w:rsidR="008B0153">
        <w:t xml:space="preserve"> not</w:t>
      </w:r>
      <w:r w:rsidR="000A37FF" w:rsidRPr="000A37FF">
        <w:t xml:space="preserve"> consider</w:t>
      </w:r>
      <w:r w:rsidR="008B0153">
        <w:t>ed</w:t>
      </w:r>
      <w:r w:rsidR="000A37FF" w:rsidRPr="000A37FF">
        <w:t xml:space="preserve"> </w:t>
      </w:r>
      <w:r w:rsidR="002E5366">
        <w:t xml:space="preserve">at all </w:t>
      </w:r>
      <w:r w:rsidR="000A37FF" w:rsidRPr="000A37FF">
        <w:t>whether a</w:t>
      </w:r>
      <w:r w:rsidR="00F82C54">
        <w:t xml:space="preserve">n </w:t>
      </w:r>
      <w:r w:rsidR="000A37FF" w:rsidRPr="000A37FF">
        <w:t>action was in the interests of the company</w:t>
      </w:r>
      <w:r w:rsidR="009C4BD5">
        <w:t xml:space="preserve">. </w:t>
      </w:r>
      <w:r w:rsidR="00FD323D">
        <w:t>Then</w:t>
      </w:r>
      <w:r w:rsidR="00AA4862">
        <w:t xml:space="preserve"> the test becomes</w:t>
      </w:r>
      <w:r w:rsidR="004D4030">
        <w:t xml:space="preserve"> </w:t>
      </w:r>
      <w:r w:rsidR="004D4030" w:rsidRPr="004D4030">
        <w:t xml:space="preserve">whether an intelligent and honest </w:t>
      </w:r>
      <w:r w:rsidR="00B70BB6">
        <w:t>person</w:t>
      </w:r>
      <w:r w:rsidR="00B70BB6" w:rsidRPr="004D4030">
        <w:t xml:space="preserve"> </w:t>
      </w:r>
      <w:r w:rsidR="004D4030" w:rsidRPr="004D4030">
        <w:t>in the position of</w:t>
      </w:r>
      <w:r w:rsidR="00203AC5">
        <w:t xml:space="preserve"> the director could</w:t>
      </w:r>
      <w:r w:rsidR="00AF3613">
        <w:t xml:space="preserve">, in all the circumstances, </w:t>
      </w:r>
      <w:r w:rsidR="004D4030" w:rsidRPr="004D4030">
        <w:t xml:space="preserve">have reasonably believed that the </w:t>
      </w:r>
      <w:r w:rsidR="005E1FD9">
        <w:t>actions</w:t>
      </w:r>
      <w:r w:rsidR="004D4030" w:rsidRPr="004D4030">
        <w:t xml:space="preserve"> were for the benefit of the  company</w:t>
      </w:r>
      <w:r w:rsidR="00513394">
        <w:t>.</w:t>
      </w:r>
      <w:r w:rsidR="00513394" w:rsidRPr="001C4185">
        <w:rPr>
          <w:rStyle w:val="FootnoteReference"/>
        </w:rPr>
        <w:footnoteReference w:id="30"/>
      </w:r>
      <w:r w:rsidR="00513394">
        <w:t xml:space="preserve"> </w:t>
      </w:r>
      <w:r w:rsidR="00B54664">
        <w:t>The objective</w:t>
      </w:r>
      <w:r w:rsidR="00D31FF4">
        <w:t xml:space="preserve"> </w:t>
      </w:r>
      <w:r w:rsidR="00B54664">
        <w:t xml:space="preserve">test also </w:t>
      </w:r>
      <w:r w:rsidR="00D31FF4">
        <w:t xml:space="preserve">applies where </w:t>
      </w:r>
      <w:r w:rsidR="008F1C64">
        <w:t>the director unreasonably fails to take into account a</w:t>
      </w:r>
      <w:r w:rsidR="00D31FF4">
        <w:t xml:space="preserve"> </w:t>
      </w:r>
      <w:r w:rsidR="006A59CD" w:rsidRPr="006A59CD">
        <w:t>“very material interest”</w:t>
      </w:r>
      <w:r w:rsidR="00B54664">
        <w:t>.</w:t>
      </w:r>
      <w:r w:rsidR="008F1C64" w:rsidRPr="001C4185">
        <w:rPr>
          <w:rStyle w:val="FootnoteReference"/>
        </w:rPr>
        <w:footnoteReference w:id="31"/>
      </w:r>
      <w:r w:rsidR="00B54664">
        <w:t xml:space="preserve"> </w:t>
      </w:r>
      <w:r w:rsidR="00093DAF">
        <w:t xml:space="preserve">This objective test could apply where a </w:t>
      </w:r>
      <w:r w:rsidR="005806C8">
        <w:t>director</w:t>
      </w:r>
      <w:r w:rsidR="00093DAF">
        <w:t xml:space="preserve"> completely fails to take into </w:t>
      </w:r>
      <w:r w:rsidR="00EC3E28">
        <w:t>climate</w:t>
      </w:r>
      <w:r w:rsidR="00A41FDC">
        <w:t xml:space="preserve"> risk</w:t>
      </w:r>
      <w:r w:rsidR="00EC3E28">
        <w:t>,</w:t>
      </w:r>
      <w:r w:rsidR="00BD2A47">
        <w:t xml:space="preserve"> or does not do so in good faith,</w:t>
      </w:r>
      <w:r w:rsidR="00EC3E28">
        <w:t xml:space="preserve"> leaving them more vulnerable </w:t>
      </w:r>
      <w:r w:rsidR="002B1799">
        <w:t xml:space="preserve">to </w:t>
      </w:r>
      <w:r w:rsidR="00F21143">
        <w:t>being found to be in</w:t>
      </w:r>
      <w:r w:rsidR="002B1799">
        <w:t xml:space="preserve"> breach of duty.</w:t>
      </w:r>
      <w:r w:rsidR="009824B3">
        <w:rPr>
          <w:rStyle w:val="FootnoteReference"/>
        </w:rPr>
        <w:footnoteReference w:id="32"/>
      </w:r>
      <w:r w:rsidR="002B1799">
        <w:t xml:space="preserve"> </w:t>
      </w:r>
    </w:p>
    <w:p w14:paraId="160A48C0" w14:textId="77777777" w:rsidR="00BE6BF5" w:rsidRDefault="00751402" w:rsidP="00225A3A">
      <w:pPr>
        <w:pStyle w:val="MainBody0"/>
        <w:rPr>
          <w:rFonts w:cstheme="minorHAnsi"/>
        </w:rPr>
      </w:pPr>
      <w:r>
        <w:t>T</w:t>
      </w:r>
      <w:r w:rsidR="009611FA">
        <w:t xml:space="preserve">he </w:t>
      </w:r>
      <w:r w:rsidR="00EF1DC9">
        <w:t xml:space="preserve">success of the company </w:t>
      </w:r>
      <w:r w:rsidR="00E717F1">
        <w:t>under</w:t>
      </w:r>
      <w:r w:rsidR="009611FA">
        <w:t xml:space="preserve"> </w:t>
      </w:r>
      <w:r w:rsidR="00744542">
        <w:t>section 172</w:t>
      </w:r>
      <w:r w:rsidR="0001454F">
        <w:t xml:space="preserve"> is primarily understood in a financial sense</w:t>
      </w:r>
      <w:r w:rsidR="009611FA">
        <w:t xml:space="preserve">. However, </w:t>
      </w:r>
      <w:r w:rsidR="003D48C1">
        <w:t xml:space="preserve">it </w:t>
      </w:r>
      <w:r w:rsidR="00A573FF">
        <w:t>also i</w:t>
      </w:r>
      <w:r w:rsidR="00F646EE">
        <w:t>mposes</w:t>
      </w:r>
      <w:r w:rsidR="00A573FF">
        <w:t xml:space="preserve"> </w:t>
      </w:r>
      <w:r w:rsidR="00744E03">
        <w:rPr>
          <w:rFonts w:cstheme="minorHAnsi"/>
        </w:rPr>
        <w:t xml:space="preserve">a </w:t>
      </w:r>
      <w:r w:rsidR="00AA7E5F" w:rsidRPr="008C780F">
        <w:rPr>
          <w:rFonts w:cstheme="minorHAnsi"/>
        </w:rPr>
        <w:t>duty to have regard to</w:t>
      </w:r>
      <w:r w:rsidR="00AA7E5F">
        <w:rPr>
          <w:rFonts w:cstheme="minorHAnsi"/>
        </w:rPr>
        <w:t xml:space="preserve"> </w:t>
      </w:r>
      <w:r w:rsidR="00A64F40">
        <w:rPr>
          <w:rFonts w:cstheme="minorHAnsi"/>
        </w:rPr>
        <w:t xml:space="preserve">six </w:t>
      </w:r>
      <w:r w:rsidR="00AA7E5F" w:rsidRPr="008C780F">
        <w:rPr>
          <w:rFonts w:cstheme="minorHAnsi"/>
        </w:rPr>
        <w:t>factors specified in section 172(1)(a)-(f).</w:t>
      </w:r>
      <w:r w:rsidR="00B47A5D">
        <w:rPr>
          <w:rFonts w:cstheme="minorHAnsi"/>
        </w:rPr>
        <w:t xml:space="preserve"> </w:t>
      </w:r>
      <w:r w:rsidR="007D26CF">
        <w:rPr>
          <w:rFonts w:cstheme="minorHAnsi"/>
        </w:rPr>
        <w:t xml:space="preserve">These include </w:t>
      </w:r>
      <w:r w:rsidR="002C2279">
        <w:rPr>
          <w:rFonts w:cstheme="minorHAnsi"/>
        </w:rPr>
        <w:t xml:space="preserve">the </w:t>
      </w:r>
      <w:r w:rsidR="007D26CF" w:rsidRPr="007D26CF">
        <w:rPr>
          <w:rFonts w:cstheme="minorHAnsi"/>
        </w:rPr>
        <w:t>likely consequences of any decision in the long term,</w:t>
      </w:r>
      <w:r w:rsidR="002C2279">
        <w:rPr>
          <w:rFonts w:cstheme="minorHAnsi"/>
        </w:rPr>
        <w:t xml:space="preserve"> </w:t>
      </w:r>
      <w:r w:rsidR="007D26CF" w:rsidRPr="007D26CF">
        <w:rPr>
          <w:rFonts w:cstheme="minorHAnsi"/>
        </w:rPr>
        <w:t>the interests of the company</w:t>
      </w:r>
      <w:r w:rsidR="009E2E1C">
        <w:rPr>
          <w:rFonts w:cstheme="minorHAnsi"/>
        </w:rPr>
        <w:t>’</w:t>
      </w:r>
      <w:r w:rsidR="007D26CF" w:rsidRPr="007D26CF">
        <w:rPr>
          <w:rFonts w:cstheme="minorHAnsi"/>
        </w:rPr>
        <w:t>s employees</w:t>
      </w:r>
      <w:r w:rsidR="002C2279">
        <w:rPr>
          <w:rFonts w:cstheme="minorHAnsi"/>
        </w:rPr>
        <w:t xml:space="preserve"> and </w:t>
      </w:r>
      <w:r w:rsidR="0063177D">
        <w:rPr>
          <w:rFonts w:cstheme="minorHAnsi"/>
        </w:rPr>
        <w:t>t</w:t>
      </w:r>
      <w:r w:rsidR="0063177D" w:rsidRPr="0063177D">
        <w:rPr>
          <w:rFonts w:cstheme="minorHAnsi"/>
        </w:rPr>
        <w:t>he</w:t>
      </w:r>
      <w:r w:rsidR="002B7263">
        <w:rPr>
          <w:rFonts w:cstheme="minorHAnsi"/>
        </w:rPr>
        <w:t xml:space="preserve"> </w:t>
      </w:r>
      <w:r w:rsidR="0063177D" w:rsidRPr="0063177D">
        <w:rPr>
          <w:rFonts w:cstheme="minorHAnsi"/>
        </w:rPr>
        <w:t>impact of the company</w:t>
      </w:r>
      <w:r w:rsidR="00E314F4">
        <w:rPr>
          <w:rFonts w:cstheme="minorHAnsi"/>
        </w:rPr>
        <w:t>’</w:t>
      </w:r>
      <w:r w:rsidR="0063177D" w:rsidRPr="0063177D">
        <w:rPr>
          <w:rFonts w:cstheme="minorHAnsi"/>
        </w:rPr>
        <w:t>s operations on the environment</w:t>
      </w:r>
      <w:r w:rsidR="003C6B97">
        <w:rPr>
          <w:rFonts w:cstheme="minorHAnsi"/>
        </w:rPr>
        <w:t>.</w:t>
      </w:r>
      <w:r w:rsidR="003C1607">
        <w:rPr>
          <w:rFonts w:cstheme="minorHAnsi"/>
        </w:rPr>
        <w:t xml:space="preserve"> </w:t>
      </w:r>
      <w:r w:rsidR="00225A3A">
        <w:t>This was one of the principal</w:t>
      </w:r>
      <w:r w:rsidR="00225A3A" w:rsidRPr="00A968A4">
        <w:t xml:space="preserve"> reforms</w:t>
      </w:r>
      <w:r w:rsidR="00225A3A">
        <w:t xml:space="preserve"> introduced by the </w:t>
      </w:r>
      <w:r w:rsidR="00FA60AC">
        <w:t xml:space="preserve">2006 </w:t>
      </w:r>
      <w:r w:rsidR="00225A3A">
        <w:t xml:space="preserve">Companies Act </w:t>
      </w:r>
      <w:r w:rsidR="00225A3A">
        <w:rPr>
          <w:rFonts w:cstheme="minorHAnsi"/>
        </w:rPr>
        <w:t xml:space="preserve">and </w:t>
      </w:r>
      <w:r w:rsidR="000A61FE">
        <w:rPr>
          <w:rFonts w:cstheme="minorHAnsi"/>
        </w:rPr>
        <w:t xml:space="preserve">reflects </w:t>
      </w:r>
      <w:r w:rsidR="002C2064">
        <w:rPr>
          <w:rFonts w:cstheme="minorHAnsi"/>
        </w:rPr>
        <w:t>Parliament’s intention</w:t>
      </w:r>
      <w:r w:rsidR="000A61FE">
        <w:rPr>
          <w:rFonts w:cstheme="minorHAnsi"/>
        </w:rPr>
        <w:t xml:space="preserve"> of introducing the concept of ‘enlightened shareholder value’ into company law. </w:t>
      </w:r>
      <w:r w:rsidR="00465916">
        <w:rPr>
          <w:rFonts w:cstheme="minorHAnsi"/>
        </w:rPr>
        <w:t>Under this approach,</w:t>
      </w:r>
      <w:r w:rsidR="00EC6636" w:rsidRPr="00EC6636">
        <w:rPr>
          <w:rFonts w:cstheme="minorHAnsi"/>
        </w:rPr>
        <w:t xml:space="preserve"> directors </w:t>
      </w:r>
      <w:r w:rsidR="00423DE8">
        <w:rPr>
          <w:rFonts w:cstheme="minorHAnsi"/>
        </w:rPr>
        <w:t>are required to act</w:t>
      </w:r>
      <w:r w:rsidR="00EC6636" w:rsidRPr="00EC6636">
        <w:rPr>
          <w:rFonts w:cstheme="minorHAnsi"/>
        </w:rPr>
        <w:t xml:space="preserve"> in the collective best interests of shareholders but </w:t>
      </w:r>
      <w:r w:rsidR="006E2F14">
        <w:rPr>
          <w:rFonts w:cstheme="minorHAnsi"/>
        </w:rPr>
        <w:t xml:space="preserve">should </w:t>
      </w:r>
      <w:r w:rsidR="00EC6636" w:rsidRPr="00EC6636">
        <w:rPr>
          <w:rFonts w:cstheme="minorHAnsi"/>
        </w:rPr>
        <w:t xml:space="preserve">not focus solely on short-term financial benefits. Instead, </w:t>
      </w:r>
      <w:r w:rsidR="00653CD0">
        <w:rPr>
          <w:rFonts w:cstheme="minorHAnsi"/>
        </w:rPr>
        <w:t xml:space="preserve">directors should make decisions </w:t>
      </w:r>
      <w:r w:rsidR="00EC6636" w:rsidRPr="00EC6636">
        <w:rPr>
          <w:rFonts w:cstheme="minorHAnsi"/>
        </w:rPr>
        <w:t xml:space="preserve">that will maximize shareholder value in the long term. </w:t>
      </w:r>
    </w:p>
    <w:p w14:paraId="4449574A" w14:textId="23761E72" w:rsidR="00B34326" w:rsidRPr="00225A3A" w:rsidRDefault="00B25E4C" w:rsidP="00225A3A">
      <w:pPr>
        <w:pStyle w:val="MainBody0"/>
      </w:pPr>
      <w:r>
        <w:rPr>
          <w:rFonts w:cstheme="minorHAnsi"/>
        </w:rPr>
        <w:t xml:space="preserve">The ‘duty to have regard’ therefore explicitly recognises the connection between the financial interests of a company and its impact on the environment. </w:t>
      </w:r>
      <w:r w:rsidR="00EC6636" w:rsidRPr="00EC6636">
        <w:rPr>
          <w:rFonts w:cstheme="minorHAnsi"/>
        </w:rPr>
        <w:t xml:space="preserve">Such an approach is particularly relevant </w:t>
      </w:r>
      <w:r w:rsidR="003210F9">
        <w:rPr>
          <w:rFonts w:cstheme="minorHAnsi"/>
        </w:rPr>
        <w:t xml:space="preserve">given the risk of climate change to a company’s long term </w:t>
      </w:r>
      <w:r w:rsidR="00EC6636" w:rsidRPr="00EC6636">
        <w:rPr>
          <w:rFonts w:cstheme="minorHAnsi"/>
        </w:rPr>
        <w:t>financial</w:t>
      </w:r>
      <w:r w:rsidR="003210F9">
        <w:rPr>
          <w:rFonts w:cstheme="minorHAnsi"/>
        </w:rPr>
        <w:t xml:space="preserve"> position</w:t>
      </w:r>
      <w:r w:rsidR="00EC6636" w:rsidRPr="00EC6636">
        <w:rPr>
          <w:rFonts w:cstheme="minorHAnsi"/>
        </w:rPr>
        <w:t xml:space="preserve">, for instance, </w:t>
      </w:r>
      <w:r w:rsidR="00494F42">
        <w:rPr>
          <w:rFonts w:cstheme="minorHAnsi"/>
        </w:rPr>
        <w:t xml:space="preserve">where disregard for </w:t>
      </w:r>
      <w:r w:rsidR="009824B3">
        <w:rPr>
          <w:rFonts w:cstheme="minorHAnsi"/>
        </w:rPr>
        <w:t xml:space="preserve">the </w:t>
      </w:r>
      <w:r w:rsidR="00494F42">
        <w:rPr>
          <w:rFonts w:cstheme="minorHAnsi"/>
        </w:rPr>
        <w:t>environmen</w:t>
      </w:r>
      <w:r w:rsidR="00D5230F">
        <w:rPr>
          <w:rFonts w:cstheme="minorHAnsi"/>
        </w:rPr>
        <w:t>t</w:t>
      </w:r>
      <w:r w:rsidR="00494F42">
        <w:rPr>
          <w:rFonts w:cstheme="minorHAnsi"/>
        </w:rPr>
        <w:t xml:space="preserve"> may lead to</w:t>
      </w:r>
      <w:r w:rsidR="00EC6636" w:rsidRPr="00EC6636">
        <w:rPr>
          <w:rFonts w:cstheme="minorHAnsi"/>
        </w:rPr>
        <w:t xml:space="preserve"> adverse publicity or higher long-term production or supply costs resulting from short-sighted board decisions driven primarily by immediate profitability and returns on investment.</w:t>
      </w:r>
      <w:r w:rsidR="00E45C82">
        <w:rPr>
          <w:rFonts w:cstheme="minorHAnsi"/>
        </w:rPr>
        <w:t xml:space="preserve"> </w:t>
      </w:r>
      <w:r>
        <w:rPr>
          <w:rFonts w:cstheme="minorHAnsi"/>
        </w:rPr>
        <w:t>Nevertheless</w:t>
      </w:r>
      <w:r w:rsidR="00E45C82">
        <w:rPr>
          <w:rFonts w:cstheme="minorHAnsi"/>
        </w:rPr>
        <w:t xml:space="preserve">, </w:t>
      </w:r>
      <w:r w:rsidR="00FE5E77">
        <w:rPr>
          <w:rFonts w:cstheme="minorHAnsi"/>
        </w:rPr>
        <w:t xml:space="preserve">it </w:t>
      </w:r>
      <w:r w:rsidR="00E45C82">
        <w:rPr>
          <w:rFonts w:cstheme="minorHAnsi"/>
        </w:rPr>
        <w:t>is important to recognise that</w:t>
      </w:r>
      <w:r w:rsidR="00050187">
        <w:rPr>
          <w:rFonts w:cstheme="minorHAnsi"/>
        </w:rPr>
        <w:t>, whilst enlightened</w:t>
      </w:r>
      <w:r w:rsidR="002079EB">
        <w:rPr>
          <w:rFonts w:cstheme="minorHAnsi"/>
        </w:rPr>
        <w:t xml:space="preserve"> in this sense</w:t>
      </w:r>
      <w:r w:rsidR="00050187">
        <w:rPr>
          <w:rFonts w:cstheme="minorHAnsi"/>
        </w:rPr>
        <w:t>, the focus</w:t>
      </w:r>
      <w:r w:rsidR="00885B45">
        <w:rPr>
          <w:rFonts w:cstheme="minorHAnsi"/>
        </w:rPr>
        <w:t xml:space="preserve"> remains</w:t>
      </w:r>
      <w:r w:rsidR="00050187">
        <w:rPr>
          <w:rFonts w:cstheme="minorHAnsi"/>
        </w:rPr>
        <w:t xml:space="preserve"> on shareholder value. </w:t>
      </w:r>
      <w:r w:rsidR="002162B8">
        <w:rPr>
          <w:rFonts w:cstheme="minorHAnsi"/>
        </w:rPr>
        <w:t>T</w:t>
      </w:r>
      <w:r w:rsidR="00563864">
        <w:rPr>
          <w:rFonts w:cstheme="minorHAnsi"/>
        </w:rPr>
        <w:t>he</w:t>
      </w:r>
      <w:r w:rsidR="00484785">
        <w:rPr>
          <w:rFonts w:cstheme="minorHAnsi"/>
        </w:rPr>
        <w:t xml:space="preserve"> </w:t>
      </w:r>
      <w:r w:rsidR="004C0AEC">
        <w:rPr>
          <w:rFonts w:cstheme="minorHAnsi"/>
        </w:rPr>
        <w:t xml:space="preserve">Act does not adopt </w:t>
      </w:r>
      <w:r w:rsidR="002162B8">
        <w:rPr>
          <w:rFonts w:cstheme="minorHAnsi"/>
        </w:rPr>
        <w:t>a</w:t>
      </w:r>
      <w:r w:rsidR="004C0AEC">
        <w:rPr>
          <w:rFonts w:cstheme="minorHAnsi"/>
        </w:rPr>
        <w:t xml:space="preserve"> </w:t>
      </w:r>
      <w:r w:rsidR="00E8713B">
        <w:rPr>
          <w:rFonts w:cstheme="minorHAnsi"/>
        </w:rPr>
        <w:t>‘pluralist approach’ to directors</w:t>
      </w:r>
      <w:r w:rsidR="00EB634C">
        <w:rPr>
          <w:rFonts w:cstheme="minorHAnsi"/>
        </w:rPr>
        <w:t>’</w:t>
      </w:r>
      <w:r w:rsidR="00E8713B">
        <w:rPr>
          <w:rFonts w:cstheme="minorHAnsi"/>
        </w:rPr>
        <w:t xml:space="preserve"> dutie</w:t>
      </w:r>
      <w:r w:rsidR="000B36F8">
        <w:rPr>
          <w:rFonts w:cstheme="minorHAnsi"/>
        </w:rPr>
        <w:t>s, wh</w:t>
      </w:r>
      <w:r w:rsidR="00E12AC8">
        <w:rPr>
          <w:rFonts w:cstheme="minorHAnsi"/>
        </w:rPr>
        <w:t xml:space="preserve">ereby </w:t>
      </w:r>
      <w:r w:rsidR="0030359A" w:rsidRPr="0030359A">
        <w:rPr>
          <w:rFonts w:cstheme="minorHAnsi"/>
        </w:rPr>
        <w:t>compan</w:t>
      </w:r>
      <w:r w:rsidR="00043352">
        <w:rPr>
          <w:rFonts w:cstheme="minorHAnsi"/>
        </w:rPr>
        <w:t>ies should be</w:t>
      </w:r>
      <w:r w:rsidR="0030359A" w:rsidRPr="0030359A">
        <w:rPr>
          <w:rFonts w:cstheme="minorHAnsi"/>
        </w:rPr>
        <w:t xml:space="preserve"> </w:t>
      </w:r>
      <w:r w:rsidR="00F94960">
        <w:rPr>
          <w:rFonts w:cstheme="minorHAnsi"/>
        </w:rPr>
        <w:t>“</w:t>
      </w:r>
      <w:r w:rsidR="0030359A" w:rsidRPr="0030359A">
        <w:rPr>
          <w:rFonts w:cstheme="minorHAnsi"/>
        </w:rPr>
        <w:t>required to serve a wider range of interests, not subordinate to, or as a means of achieving, shareholder value but as valuable in their own right</w:t>
      </w:r>
      <w:r w:rsidR="00F94960">
        <w:rPr>
          <w:rFonts w:cstheme="minorHAnsi"/>
        </w:rPr>
        <w:t>”</w:t>
      </w:r>
      <w:r w:rsidR="0030359A" w:rsidRPr="0030359A">
        <w:rPr>
          <w:rFonts w:cstheme="minorHAnsi"/>
        </w:rPr>
        <w:t>.</w:t>
      </w:r>
      <w:r w:rsidR="00F94960" w:rsidRPr="001C4185">
        <w:rPr>
          <w:rStyle w:val="FootnoteReference"/>
        </w:rPr>
        <w:footnoteReference w:id="33"/>
      </w:r>
      <w:r w:rsidR="00484785">
        <w:rPr>
          <w:rFonts w:cstheme="minorHAnsi"/>
        </w:rPr>
        <w:t xml:space="preserve"> </w:t>
      </w:r>
    </w:p>
    <w:p w14:paraId="566DE2BE" w14:textId="3107F90B" w:rsidR="000B3AAC" w:rsidRDefault="000B3AAC" w:rsidP="00063938">
      <w:pPr>
        <w:pStyle w:val="MainBody0"/>
        <w:rPr>
          <w:rFonts w:cstheme="minorHAnsi"/>
        </w:rPr>
      </w:pPr>
      <w:r>
        <w:rPr>
          <w:rFonts w:cstheme="minorHAnsi"/>
        </w:rPr>
        <w:t>Another</w:t>
      </w:r>
      <w:r w:rsidR="004207C4">
        <w:rPr>
          <w:rFonts w:cstheme="minorHAnsi"/>
        </w:rPr>
        <w:t xml:space="preserve"> important</w:t>
      </w:r>
      <w:r w:rsidR="00DD037D">
        <w:rPr>
          <w:rFonts w:cstheme="minorHAnsi"/>
        </w:rPr>
        <w:t xml:space="preserve"> aspect of</w:t>
      </w:r>
      <w:r w:rsidR="004207C4">
        <w:rPr>
          <w:rFonts w:cstheme="minorHAnsi"/>
        </w:rPr>
        <w:t xml:space="preserve"> </w:t>
      </w:r>
      <w:r w:rsidR="00DD037D" w:rsidRPr="004207C4">
        <w:rPr>
          <w:rFonts w:cstheme="minorHAnsi"/>
        </w:rPr>
        <w:t>th</w:t>
      </w:r>
      <w:r w:rsidR="00476B55">
        <w:rPr>
          <w:rFonts w:cstheme="minorHAnsi"/>
        </w:rPr>
        <w:t>is</w:t>
      </w:r>
      <w:r w:rsidR="00DD037D" w:rsidRPr="004207C4">
        <w:rPr>
          <w:rFonts w:cstheme="minorHAnsi"/>
        </w:rPr>
        <w:t xml:space="preserve"> </w:t>
      </w:r>
      <w:r w:rsidR="001D3C06">
        <w:rPr>
          <w:rFonts w:cstheme="minorHAnsi"/>
        </w:rPr>
        <w:t>supplemental</w:t>
      </w:r>
      <w:r w:rsidR="00DD037D" w:rsidRPr="004207C4">
        <w:rPr>
          <w:rFonts w:cstheme="minorHAnsi"/>
        </w:rPr>
        <w:t xml:space="preserve"> duty </w:t>
      </w:r>
      <w:r w:rsidR="00351AF8">
        <w:rPr>
          <w:rFonts w:cstheme="minorHAnsi"/>
        </w:rPr>
        <w:t xml:space="preserve">is that </w:t>
      </w:r>
      <w:r w:rsidR="00A04FF9">
        <w:rPr>
          <w:rFonts w:cstheme="minorHAnsi"/>
        </w:rPr>
        <w:t>it</w:t>
      </w:r>
      <w:r w:rsidR="00181D7B">
        <w:rPr>
          <w:rFonts w:cstheme="minorHAnsi"/>
        </w:rPr>
        <w:t xml:space="preserve"> is procedural in nature. </w:t>
      </w:r>
      <w:r w:rsidR="005C78BE">
        <w:rPr>
          <w:rFonts w:cstheme="minorHAnsi"/>
        </w:rPr>
        <w:t xml:space="preserve">By </w:t>
      </w:r>
      <w:r w:rsidR="00CE77B3">
        <w:rPr>
          <w:rFonts w:cstheme="minorHAnsi"/>
        </w:rPr>
        <w:t xml:space="preserve">framing it as a duty </w:t>
      </w:r>
      <w:r w:rsidR="00B32131">
        <w:rPr>
          <w:rFonts w:cstheme="minorHAnsi"/>
        </w:rPr>
        <w:t>‘</w:t>
      </w:r>
      <w:r w:rsidR="00CE77B3">
        <w:rPr>
          <w:rFonts w:cstheme="minorHAnsi"/>
        </w:rPr>
        <w:t xml:space="preserve">to </w:t>
      </w:r>
      <w:r w:rsidR="004207C4" w:rsidRPr="004207C4">
        <w:rPr>
          <w:rFonts w:cstheme="minorHAnsi"/>
        </w:rPr>
        <w:t>have regar</w:t>
      </w:r>
      <w:r w:rsidR="00B32131">
        <w:rPr>
          <w:rFonts w:cstheme="minorHAnsi"/>
        </w:rPr>
        <w:t>d’</w:t>
      </w:r>
      <w:r w:rsidR="00CD414A">
        <w:rPr>
          <w:rFonts w:cstheme="minorHAnsi"/>
        </w:rPr>
        <w:t xml:space="preserve">, </w:t>
      </w:r>
      <w:r w:rsidR="005C78BE" w:rsidRPr="004207C4">
        <w:rPr>
          <w:rFonts w:cstheme="minorHAnsi"/>
        </w:rPr>
        <w:t xml:space="preserve">Parliament </w:t>
      </w:r>
      <w:r w:rsidR="004207C4" w:rsidRPr="004207C4">
        <w:rPr>
          <w:rFonts w:cstheme="minorHAnsi"/>
        </w:rPr>
        <w:t>appears to have deliberately eschewed an outcome-based approach to wider social and environmental factors</w:t>
      </w:r>
      <w:r w:rsidR="00884AFA">
        <w:rPr>
          <w:rFonts w:cstheme="minorHAnsi"/>
        </w:rPr>
        <w:t xml:space="preserve">. Parliament </w:t>
      </w:r>
      <w:r w:rsidR="00740A02">
        <w:rPr>
          <w:rFonts w:cstheme="minorHAnsi"/>
        </w:rPr>
        <w:t xml:space="preserve">also </w:t>
      </w:r>
      <w:r w:rsidR="004207C4" w:rsidRPr="004207C4">
        <w:rPr>
          <w:rFonts w:cstheme="minorHAnsi"/>
        </w:rPr>
        <w:t xml:space="preserve">declined </w:t>
      </w:r>
      <w:r w:rsidR="004207C4" w:rsidRPr="004207C4">
        <w:rPr>
          <w:rFonts w:cstheme="minorHAnsi"/>
        </w:rPr>
        <w:lastRenderedPageBreak/>
        <w:t>to ascribe any presumptive weight to any of the factors, which are also strictly non-exhaustive (as denoted by the words “amongst other matters”). This is borne out by the explanatory notes to section 172, which stress that it “codifies the current law and enshrines in statute what is commonly referred to as the principle of ‘enlightened shareholder value’” and is not intended to challenge a director’s “good faith judgment”.</w:t>
      </w:r>
      <w:r w:rsidR="00D35F84" w:rsidRPr="00D35F84">
        <w:rPr>
          <w:rStyle w:val="FootnoteReference"/>
          <w:rFonts w:cstheme="minorHAnsi"/>
        </w:rPr>
        <w:t xml:space="preserve"> </w:t>
      </w:r>
      <w:r w:rsidR="00D35F84" w:rsidRPr="001C4185">
        <w:rPr>
          <w:rStyle w:val="FootnoteReference"/>
        </w:rPr>
        <w:footnoteReference w:id="34"/>
      </w:r>
      <w:r w:rsidR="004207C4" w:rsidRPr="004207C4">
        <w:rPr>
          <w:rFonts w:cstheme="minorHAnsi"/>
        </w:rPr>
        <w:t xml:space="preserve">  The proviso to this in the explanatory notes is that “[i]t will not be sufficient to pay lip service to the factors, and, in many cases the directors will need to take action to comply with this aspect of the duty.”</w:t>
      </w:r>
      <w:r w:rsidR="00195723" w:rsidRPr="001C4185">
        <w:rPr>
          <w:rStyle w:val="FootnoteReference"/>
        </w:rPr>
        <w:footnoteReference w:id="35"/>
      </w:r>
      <w:r w:rsidR="00063938" w:rsidRPr="00063938">
        <w:rPr>
          <w:rFonts w:cstheme="minorHAnsi"/>
        </w:rPr>
        <w:t xml:space="preserve"> </w:t>
      </w:r>
      <w:r w:rsidR="0047401D">
        <w:rPr>
          <w:rFonts w:cstheme="minorHAnsi"/>
        </w:rPr>
        <w:t xml:space="preserve"> This </w:t>
      </w:r>
      <w:r w:rsidR="008C5C9A">
        <w:rPr>
          <w:rFonts w:cstheme="minorHAnsi"/>
        </w:rPr>
        <w:t xml:space="preserve">procedural </w:t>
      </w:r>
      <w:r w:rsidR="00533DA9">
        <w:rPr>
          <w:rFonts w:cstheme="minorHAnsi"/>
        </w:rPr>
        <w:t xml:space="preserve">duty </w:t>
      </w:r>
      <w:r w:rsidR="001E1F53">
        <w:rPr>
          <w:rFonts w:cstheme="minorHAnsi"/>
        </w:rPr>
        <w:t xml:space="preserve">imposes an obligation </w:t>
      </w:r>
      <w:r w:rsidR="00533DA9">
        <w:rPr>
          <w:rFonts w:cstheme="minorHAnsi"/>
        </w:rPr>
        <w:t xml:space="preserve">on </w:t>
      </w:r>
      <w:r w:rsidR="008B73E7">
        <w:rPr>
          <w:rFonts w:cstheme="minorHAnsi"/>
        </w:rPr>
        <w:t>directors</w:t>
      </w:r>
      <w:r w:rsidR="0047401D">
        <w:rPr>
          <w:rFonts w:cstheme="minorHAnsi"/>
        </w:rPr>
        <w:t xml:space="preserve"> </w:t>
      </w:r>
      <w:r w:rsidR="00533DA9">
        <w:rPr>
          <w:rFonts w:cstheme="minorHAnsi"/>
        </w:rPr>
        <w:t xml:space="preserve">to consider climate change, but it does not impose </w:t>
      </w:r>
      <w:r w:rsidR="009A1B9A">
        <w:rPr>
          <w:rFonts w:cstheme="minorHAnsi"/>
        </w:rPr>
        <w:t xml:space="preserve">a duty to achieve any </w:t>
      </w:r>
      <w:r w:rsidR="00533DA9">
        <w:rPr>
          <w:rFonts w:cstheme="minorHAnsi"/>
        </w:rPr>
        <w:t xml:space="preserve">particular </w:t>
      </w:r>
      <w:r w:rsidR="009A1B9A">
        <w:rPr>
          <w:rFonts w:cstheme="minorHAnsi"/>
        </w:rPr>
        <w:t>outcome.</w:t>
      </w:r>
    </w:p>
    <w:p w14:paraId="56ABE242" w14:textId="1582A20F" w:rsidR="00661A62" w:rsidRDefault="00D46AFE" w:rsidP="00B51FCA">
      <w:pPr>
        <w:pStyle w:val="MainBody0"/>
      </w:pPr>
      <w:r>
        <w:rPr>
          <w:rFonts w:cstheme="minorHAnsi"/>
        </w:rPr>
        <w:t xml:space="preserve">The second </w:t>
      </w:r>
      <w:r>
        <w:t xml:space="preserve">relevant duty is found in section 174, which </w:t>
      </w:r>
      <w:r w:rsidR="003F3D70">
        <w:t xml:space="preserve">provides that </w:t>
      </w:r>
      <w:r w:rsidR="00C22B7F">
        <w:t xml:space="preserve">a </w:t>
      </w:r>
      <w:r w:rsidR="00D0342D" w:rsidRPr="00D0342D">
        <w:t>director must exercise reasonable care, skill and diligence.</w:t>
      </w:r>
      <w:r w:rsidR="003F3D70">
        <w:tab/>
      </w:r>
      <w:r w:rsidR="003E316D">
        <w:t>Th</w:t>
      </w:r>
      <w:r w:rsidR="00507016">
        <w:t xml:space="preserve">e standard of care is defined </w:t>
      </w:r>
      <w:r w:rsidR="00070A8A">
        <w:t>by</w:t>
      </w:r>
      <w:r w:rsidR="00507016">
        <w:t xml:space="preserve"> the Act as </w:t>
      </w:r>
      <w:r w:rsidR="00070A8A">
        <w:t xml:space="preserve">primarily </w:t>
      </w:r>
      <w:r w:rsidR="00507016">
        <w:t xml:space="preserve">objective, </w:t>
      </w:r>
      <w:r w:rsidR="00B404E6">
        <w:t xml:space="preserve">with the courts requiring </w:t>
      </w:r>
      <w:r w:rsidR="00507016">
        <w:t xml:space="preserve">a director to </w:t>
      </w:r>
      <w:r w:rsidR="00E97E70">
        <w:t xml:space="preserve">act with </w:t>
      </w:r>
      <w:r w:rsidR="00507016">
        <w:t>“t</w:t>
      </w:r>
      <w:r w:rsidR="00507016" w:rsidRPr="00507016">
        <w:t>he general knowledge, skill and experience that may reasonably be expected of a person carrying out the functions carried out by the director in relation to the company</w:t>
      </w:r>
      <w:r w:rsidR="00993E85">
        <w:t>”.</w:t>
      </w:r>
      <w:r w:rsidR="00063316" w:rsidRPr="001C4185">
        <w:rPr>
          <w:rStyle w:val="FootnoteReference"/>
        </w:rPr>
        <w:footnoteReference w:id="36"/>
      </w:r>
      <w:r w:rsidR="00B404E6">
        <w:t xml:space="preserve"> </w:t>
      </w:r>
      <w:r w:rsidR="00672A96">
        <w:t>T</w:t>
      </w:r>
      <w:r w:rsidR="00B404E6">
        <w:t xml:space="preserve">he Act </w:t>
      </w:r>
      <w:r w:rsidR="00D31B2B">
        <w:t xml:space="preserve">also </w:t>
      </w:r>
      <w:r w:rsidR="00B404E6">
        <w:t xml:space="preserve">provides </w:t>
      </w:r>
      <w:r w:rsidR="00343CA4">
        <w:t xml:space="preserve">a subjective element by adding that the general knowledge, skill and experience </w:t>
      </w:r>
      <w:r w:rsidR="00023115">
        <w:t>of</w:t>
      </w:r>
      <w:r w:rsidR="00343CA4">
        <w:t xml:space="preserve"> a particular director will be taken into account. </w:t>
      </w:r>
      <w:r w:rsidR="00714336">
        <w:t xml:space="preserve">But this subjective element cannot be used to water down the objective element of the test: if a </w:t>
      </w:r>
      <w:r w:rsidR="00F14D66">
        <w:t xml:space="preserve">particular </w:t>
      </w:r>
      <w:r w:rsidR="00714336">
        <w:t xml:space="preserve">director has </w:t>
      </w:r>
      <w:r w:rsidR="00F14D66">
        <w:t>less</w:t>
      </w:r>
      <w:r w:rsidR="00714336">
        <w:t xml:space="preserve"> knowledge </w:t>
      </w:r>
      <w:r w:rsidR="00F14D66">
        <w:t xml:space="preserve">than can reasonably expected of them, </w:t>
      </w:r>
      <w:r w:rsidR="00BA047C">
        <w:t xml:space="preserve">this </w:t>
      </w:r>
      <w:r w:rsidR="00AC4C82">
        <w:t>does not mean they will escape liability</w:t>
      </w:r>
      <w:r w:rsidR="0083462F">
        <w:t>.</w:t>
      </w:r>
      <w:r w:rsidR="00BA43A7" w:rsidRPr="00BA43A7">
        <w:rPr>
          <w:rFonts w:asciiTheme="minorHAnsi" w:hAnsiTheme="minorHAnsi"/>
          <w:sz w:val="24"/>
        </w:rPr>
        <w:t xml:space="preserve"> </w:t>
      </w:r>
      <w:r w:rsidR="00BA43A7" w:rsidRPr="00BA43A7">
        <w:t xml:space="preserve">Instead, the subjective element establishes that if a director possesses greater knowledge than would </w:t>
      </w:r>
      <w:r w:rsidR="003B7024">
        <w:t>reasonably</w:t>
      </w:r>
      <w:r w:rsidR="00BA43A7" w:rsidRPr="00BA43A7">
        <w:t xml:space="preserve"> be expected of someone in their role, they will be held to </w:t>
      </w:r>
      <w:r w:rsidR="00E20BAB">
        <w:t>a</w:t>
      </w:r>
      <w:r w:rsidR="004206B7">
        <w:t xml:space="preserve"> </w:t>
      </w:r>
      <w:r w:rsidR="00BA43A7" w:rsidRPr="00BA43A7">
        <w:t>higher standard.</w:t>
      </w:r>
      <w:r w:rsidR="00893B84" w:rsidRPr="001C4185">
        <w:rPr>
          <w:rStyle w:val="FootnoteReference"/>
        </w:rPr>
        <w:footnoteReference w:id="37"/>
      </w:r>
      <w:r w:rsidR="00EF5EB3">
        <w:t xml:space="preserve"> However, whilst it is an objective duty, </w:t>
      </w:r>
      <w:r w:rsidR="00BB6148">
        <w:t xml:space="preserve">it is important to remember that </w:t>
      </w:r>
      <w:r w:rsidR="00EF5EB3">
        <w:t xml:space="preserve">the </w:t>
      </w:r>
      <w:r w:rsidR="0023563C">
        <w:t xml:space="preserve">relevant </w:t>
      </w:r>
      <w:r w:rsidR="00EF5EB3">
        <w:t xml:space="preserve">standard </w:t>
      </w:r>
      <w:r w:rsidR="004C2E42">
        <w:t xml:space="preserve">is </w:t>
      </w:r>
      <w:r w:rsidR="00DF2ABD">
        <w:t>that</w:t>
      </w:r>
      <w:r w:rsidR="00B76BA0">
        <w:t xml:space="preserve"> which</w:t>
      </w:r>
      <w:r w:rsidR="004C2E42">
        <w:t xml:space="preserve"> can </w:t>
      </w:r>
      <w:r w:rsidR="004C2E42" w:rsidRPr="00DA0206">
        <w:rPr>
          <w:i/>
          <w:iCs/>
        </w:rPr>
        <w:t>reasonably</w:t>
      </w:r>
      <w:r w:rsidR="004C2E42">
        <w:t xml:space="preserve"> </w:t>
      </w:r>
      <w:r w:rsidR="00B76BA0">
        <w:t xml:space="preserve">be </w:t>
      </w:r>
      <w:r w:rsidR="004C2E42">
        <w:t>expected of a director</w:t>
      </w:r>
      <w:bookmarkStart w:id="1" w:name="para20"/>
      <w:r w:rsidR="008C4819">
        <w:t xml:space="preserve">. Therefore, </w:t>
      </w:r>
      <w:r w:rsidR="000E1654" w:rsidRPr="000E1654">
        <w:t xml:space="preserve">the question </w:t>
      </w:r>
      <w:r w:rsidR="006C6154">
        <w:t xml:space="preserve">for the court </w:t>
      </w:r>
      <w:r w:rsidR="000E1654" w:rsidRPr="000E1654">
        <w:t xml:space="preserve">is whether the decision falls outside the range of decisions reasonably available to </w:t>
      </w:r>
      <w:r w:rsidR="00AE218A">
        <w:t>a</w:t>
      </w:r>
      <w:r w:rsidR="000E1654" w:rsidRPr="000E1654">
        <w:t xml:space="preserve"> </w:t>
      </w:r>
      <w:r w:rsidR="006C6154">
        <w:t>d</w:t>
      </w:r>
      <w:r w:rsidR="000E1654" w:rsidRPr="000E1654">
        <w:t>irector</w:t>
      </w:r>
      <w:bookmarkEnd w:id="1"/>
      <w:r w:rsidR="00977053">
        <w:t xml:space="preserve"> in their position</w:t>
      </w:r>
      <w:r w:rsidR="000E1654">
        <w:t>.</w:t>
      </w:r>
      <w:r w:rsidR="000E1654" w:rsidRPr="001C4185">
        <w:rPr>
          <w:rStyle w:val="FootnoteReference"/>
        </w:rPr>
        <w:footnoteReference w:id="38"/>
      </w:r>
      <w:r w:rsidR="00B7396C">
        <w:t xml:space="preserve"> </w:t>
      </w:r>
      <w:r w:rsidR="003545AB">
        <w:t>T</w:t>
      </w:r>
      <w:r w:rsidR="004C2E42">
        <w:t xml:space="preserve">his will vary depending on </w:t>
      </w:r>
      <w:r w:rsidR="00B1074E">
        <w:t xml:space="preserve">the </w:t>
      </w:r>
      <w:r w:rsidR="00242E73">
        <w:t>type of business</w:t>
      </w:r>
      <w:r w:rsidR="000B388A">
        <w:t xml:space="preserve"> and</w:t>
      </w:r>
      <w:r w:rsidR="00D36559">
        <w:t xml:space="preserve"> </w:t>
      </w:r>
      <w:r w:rsidR="00554809">
        <w:t xml:space="preserve">the prevailing </w:t>
      </w:r>
      <w:r w:rsidR="00025805">
        <w:t>economic conditions</w:t>
      </w:r>
      <w:r w:rsidR="000B388A">
        <w:t xml:space="preserve">. It </w:t>
      </w:r>
      <w:r w:rsidR="006D2B23">
        <w:t xml:space="preserve">may also </w:t>
      </w:r>
      <w:r w:rsidR="00254D93">
        <w:t>change</w:t>
      </w:r>
      <w:r w:rsidR="006D2B23">
        <w:t xml:space="preserve"> over time</w:t>
      </w:r>
      <w:r w:rsidR="007B4E08">
        <w:t xml:space="preserve">. </w:t>
      </w:r>
      <w:r w:rsidR="00407A6B">
        <w:t>T</w:t>
      </w:r>
      <w:r w:rsidR="00D266DA">
        <w:t xml:space="preserve">his </w:t>
      </w:r>
      <w:r w:rsidR="00DA269A">
        <w:t>create</w:t>
      </w:r>
      <w:r w:rsidR="00965123">
        <w:t>s</w:t>
      </w:r>
      <w:r w:rsidR="00D266DA">
        <w:t xml:space="preserve"> </w:t>
      </w:r>
      <w:r w:rsidR="00DA269A">
        <w:t xml:space="preserve">challenges </w:t>
      </w:r>
      <w:r w:rsidR="00816F25">
        <w:t xml:space="preserve">for </w:t>
      </w:r>
      <w:r w:rsidR="0037387A">
        <w:t>a court</w:t>
      </w:r>
      <w:r w:rsidR="00816F25">
        <w:t xml:space="preserve"> determining</w:t>
      </w:r>
      <w:r w:rsidR="006C0CFB">
        <w:t xml:space="preserve"> </w:t>
      </w:r>
      <w:r w:rsidR="00302030">
        <w:t>the appropriate standard of care</w:t>
      </w:r>
      <w:r w:rsidR="00993FC0">
        <w:t xml:space="preserve"> </w:t>
      </w:r>
      <w:r w:rsidR="00B00632">
        <w:t>in light of</w:t>
      </w:r>
      <w:r w:rsidR="00D266DA">
        <w:t xml:space="preserve"> the increasing intensity of climate</w:t>
      </w:r>
      <w:r w:rsidR="00816F25">
        <w:t xml:space="preserve"> change</w:t>
      </w:r>
      <w:r w:rsidR="00DF20AC">
        <w:t xml:space="preserve"> on the one hand</w:t>
      </w:r>
      <w:r w:rsidR="00D266DA">
        <w:t>, and on the other</w:t>
      </w:r>
      <w:r w:rsidR="00B87F51">
        <w:t xml:space="preserve">, </w:t>
      </w:r>
      <w:r w:rsidR="000D3DAE">
        <w:t xml:space="preserve">the </w:t>
      </w:r>
      <w:r w:rsidR="00FF4309">
        <w:t xml:space="preserve">fractured </w:t>
      </w:r>
      <w:r w:rsidR="00741992">
        <w:t>political and economic</w:t>
      </w:r>
      <w:r w:rsidR="0038007C">
        <w:t xml:space="preserve"> landscape</w:t>
      </w:r>
      <w:r w:rsidR="00741992">
        <w:t xml:space="preserve"> </w:t>
      </w:r>
      <w:r w:rsidR="00FF4309">
        <w:t xml:space="preserve">which directors </w:t>
      </w:r>
      <w:r w:rsidR="00545FD3">
        <w:t>must</w:t>
      </w:r>
      <w:r w:rsidR="00FF4309">
        <w:t xml:space="preserve"> </w:t>
      </w:r>
      <w:r w:rsidR="00DC1455">
        <w:t xml:space="preserve">currently </w:t>
      </w:r>
      <w:r w:rsidR="00FF4309">
        <w:t>navigat</w:t>
      </w:r>
      <w:r w:rsidR="00545FD3">
        <w:t>e</w:t>
      </w:r>
      <w:r w:rsidR="00FF4309">
        <w:t xml:space="preserve">. </w:t>
      </w:r>
    </w:p>
    <w:p w14:paraId="6728A830" w14:textId="7D9EDE1E" w:rsidR="00541A5B" w:rsidRDefault="001B0176" w:rsidP="00B51FCA">
      <w:pPr>
        <w:pStyle w:val="MainBody0"/>
      </w:pPr>
      <w:r>
        <w:t>Turning from the duties themselves to</w:t>
      </w:r>
      <w:r w:rsidR="00FD20EA">
        <w:t xml:space="preserve"> their</w:t>
      </w:r>
      <w:r>
        <w:t xml:space="preserve"> enforcement, </w:t>
      </w:r>
      <w:r w:rsidR="00A249FB">
        <w:t xml:space="preserve">the Companies Act </w:t>
      </w:r>
      <w:r w:rsidR="00187B85">
        <w:t>makes clear that a director’</w:t>
      </w:r>
      <w:r w:rsidR="0082056F">
        <w:t>s</w:t>
      </w:r>
      <w:r w:rsidR="00187B85">
        <w:t xml:space="preserve"> duties are owed to the company</w:t>
      </w:r>
      <w:r w:rsidR="008F4B99">
        <w:t>.</w:t>
      </w:r>
      <w:r w:rsidR="002A5C2C" w:rsidRPr="001C4185">
        <w:rPr>
          <w:rStyle w:val="FootnoteReference"/>
        </w:rPr>
        <w:footnoteReference w:id="39"/>
      </w:r>
      <w:r w:rsidR="0082056F">
        <w:t xml:space="preserve"> I</w:t>
      </w:r>
      <w:r w:rsidR="00C7638D">
        <w:t>t is the</w:t>
      </w:r>
      <w:r w:rsidR="0082056F">
        <w:t>refore</w:t>
      </w:r>
      <w:r w:rsidR="001459C4">
        <w:t xml:space="preserve"> </w:t>
      </w:r>
      <w:r w:rsidR="00FF1771">
        <w:t>the</w:t>
      </w:r>
      <w:r w:rsidR="00C7638D">
        <w:t xml:space="preserve"> company which has the right to enforce any breach of these duties</w:t>
      </w:r>
      <w:r w:rsidR="00F0384A">
        <w:t xml:space="preserve">. This </w:t>
      </w:r>
      <w:r w:rsidR="00876CEF">
        <w:t>creates difficulties for enforcement</w:t>
      </w:r>
      <w:r w:rsidR="0027143A">
        <w:t xml:space="preserve"> as</w:t>
      </w:r>
      <w:r w:rsidR="00876CEF">
        <w:t xml:space="preserve"> </w:t>
      </w:r>
      <w:r w:rsidR="0027143A">
        <w:t>i</w:t>
      </w:r>
      <w:r w:rsidR="00E43DD4">
        <w:t>t is primarily the board of directors, as the company’s agent, wh</w:t>
      </w:r>
      <w:r w:rsidR="000A7C18">
        <w:t xml:space="preserve">ich has the </w:t>
      </w:r>
      <w:r w:rsidR="00E43DD4">
        <w:t>power to initiate litigation;</w:t>
      </w:r>
      <w:r w:rsidR="006309B4">
        <w:rPr>
          <w:rStyle w:val="FootnoteReference"/>
        </w:rPr>
        <w:footnoteReference w:id="40"/>
      </w:r>
      <w:r w:rsidR="00E43DD4">
        <w:t xml:space="preserve"> but, for obvious reasons, </w:t>
      </w:r>
      <w:r w:rsidR="003319D5">
        <w:t xml:space="preserve">it is </w:t>
      </w:r>
      <w:r w:rsidR="00E43DD4">
        <w:t xml:space="preserve">unlikely that </w:t>
      </w:r>
      <w:r w:rsidR="00E20BAB">
        <w:t>directors</w:t>
      </w:r>
      <w:r w:rsidR="00E43DD4">
        <w:t xml:space="preserve"> will take action against </w:t>
      </w:r>
      <w:r w:rsidR="008B17FD">
        <w:t>themselves</w:t>
      </w:r>
      <w:r w:rsidR="003248D4">
        <w:t>.</w:t>
      </w:r>
      <w:r w:rsidR="00FA5901">
        <w:t xml:space="preserve"> The alternative is for a shareholder to seek to obtain the permission of </w:t>
      </w:r>
      <w:r w:rsidR="006B4723">
        <w:t xml:space="preserve">the court to </w:t>
      </w:r>
      <w:r w:rsidR="00FA5901">
        <w:t xml:space="preserve">bring a derivative </w:t>
      </w:r>
      <w:r w:rsidR="006B4723">
        <w:t>claim against the directors in the name of the company</w:t>
      </w:r>
      <w:r w:rsidR="00165752">
        <w:t>.</w:t>
      </w:r>
      <w:r w:rsidR="000865D7" w:rsidRPr="001C4185">
        <w:rPr>
          <w:rStyle w:val="FootnoteReference"/>
        </w:rPr>
        <w:footnoteReference w:id="41"/>
      </w:r>
      <w:r w:rsidR="00165752">
        <w:t xml:space="preserve"> </w:t>
      </w:r>
      <w:r w:rsidR="00BC34FB" w:rsidRPr="00BC34FB">
        <w:t xml:space="preserve">The </w:t>
      </w:r>
      <w:r w:rsidR="00BC34FB">
        <w:t xml:space="preserve">procedure </w:t>
      </w:r>
      <w:r w:rsidR="00BC34FB" w:rsidRPr="00BC34FB">
        <w:t xml:space="preserve">begins with an initial application to the court for permission to proceed with the claim. The court must first assess whether the application and supporting evidence establish a </w:t>
      </w:r>
      <w:r w:rsidR="00BC34FB" w:rsidRPr="00797F4E">
        <w:t>prima facie</w:t>
      </w:r>
      <w:r w:rsidR="00BC34FB" w:rsidRPr="00BC34FB">
        <w:t xml:space="preserve"> </w:t>
      </w:r>
      <w:r w:rsidR="00BC34FB" w:rsidRPr="00BC34FB">
        <w:lastRenderedPageBreak/>
        <w:t>case for granting permission; if they do not, the claim must be dismissed at this stage.</w:t>
      </w:r>
      <w:r w:rsidR="00C23371" w:rsidRPr="001C4185">
        <w:rPr>
          <w:rStyle w:val="FootnoteReference"/>
        </w:rPr>
        <w:footnoteReference w:id="42"/>
      </w:r>
      <w:r w:rsidR="00BC34FB" w:rsidRPr="00BC34FB">
        <w:t xml:space="preserve"> Additionally, the court must consider specific factors</w:t>
      </w:r>
      <w:r w:rsidR="00C11AED">
        <w:t xml:space="preserve"> when deciding whether to grant permission</w:t>
      </w:r>
      <w:r w:rsidR="00BC34FB" w:rsidRPr="00BC34FB">
        <w:t>, including whether the applicant is acting in good faith in seeking to pursue the claim.</w:t>
      </w:r>
      <w:r w:rsidR="003A6269">
        <w:rPr>
          <w:rStyle w:val="FootnoteReference"/>
        </w:rPr>
        <w:footnoteReference w:id="43"/>
      </w:r>
      <w:r w:rsidR="00C11AED">
        <w:t xml:space="preserve"> It is the derivative action that has</w:t>
      </w:r>
      <w:r w:rsidR="00F06DE7">
        <w:t xml:space="preserve"> primarily</w:t>
      </w:r>
      <w:r w:rsidR="00C11AED">
        <w:t xml:space="preserve"> been the vehicle </w:t>
      </w:r>
      <w:r w:rsidR="009421E7">
        <w:t>for the first cases in the English courts regarding</w:t>
      </w:r>
      <w:r w:rsidR="00F61D16">
        <w:t xml:space="preserve"> climate change and breach of director’s duties</w:t>
      </w:r>
      <w:r w:rsidR="00541A5B">
        <w:t>.</w:t>
      </w:r>
    </w:p>
    <w:p w14:paraId="4451EFC6" w14:textId="7102C8AB" w:rsidR="001B0176" w:rsidRPr="00B51FCA" w:rsidRDefault="008B170C" w:rsidP="00B51FCA">
      <w:pPr>
        <w:pStyle w:val="MainBody0"/>
      </w:pPr>
      <w:r>
        <w:rPr>
          <w:rFonts w:cstheme="minorHAnsi"/>
        </w:rPr>
        <w:t xml:space="preserve">There </w:t>
      </w:r>
      <w:r w:rsidR="00A9619A">
        <w:rPr>
          <w:rFonts w:cstheme="minorHAnsi"/>
        </w:rPr>
        <w:t>is also previous</w:t>
      </w:r>
      <w:r w:rsidR="0034287E">
        <w:rPr>
          <w:rFonts w:cstheme="minorHAnsi"/>
        </w:rPr>
        <w:t xml:space="preserve"> case</w:t>
      </w:r>
      <w:r w:rsidR="00985C22">
        <w:rPr>
          <w:rFonts w:cstheme="minorHAnsi"/>
        </w:rPr>
        <w:t xml:space="preserve"> law </w:t>
      </w:r>
      <w:r w:rsidR="0034287E">
        <w:rPr>
          <w:rFonts w:cstheme="minorHAnsi"/>
        </w:rPr>
        <w:t xml:space="preserve">from the </w:t>
      </w:r>
      <w:r w:rsidR="00874AC0">
        <w:rPr>
          <w:rFonts w:cstheme="minorHAnsi"/>
        </w:rPr>
        <w:t xml:space="preserve">1980s and 1990s on ethical investment decisions by </w:t>
      </w:r>
      <w:r w:rsidR="00401E58">
        <w:rPr>
          <w:rFonts w:cstheme="minorHAnsi"/>
        </w:rPr>
        <w:t xml:space="preserve">pension fund </w:t>
      </w:r>
      <w:r w:rsidR="00874AC0">
        <w:rPr>
          <w:rFonts w:cstheme="minorHAnsi"/>
        </w:rPr>
        <w:t>trustees.</w:t>
      </w:r>
      <w:r w:rsidR="00874AC0" w:rsidRPr="001C4185">
        <w:rPr>
          <w:rStyle w:val="FootnoteReference"/>
        </w:rPr>
        <w:footnoteReference w:id="44"/>
      </w:r>
      <w:r w:rsidR="00874AC0">
        <w:rPr>
          <w:rFonts w:cstheme="minorHAnsi"/>
        </w:rPr>
        <w:t xml:space="preserve"> </w:t>
      </w:r>
      <w:r w:rsidR="00401E58">
        <w:rPr>
          <w:rFonts w:cstheme="minorHAnsi"/>
        </w:rPr>
        <w:t xml:space="preserve">In </w:t>
      </w:r>
      <w:r w:rsidR="00874AC0" w:rsidRPr="004A753F">
        <w:rPr>
          <w:rFonts w:cstheme="minorHAnsi"/>
          <w:i/>
        </w:rPr>
        <w:t>Cowan v Scargill</w:t>
      </w:r>
      <w:r w:rsidR="00874AC0" w:rsidRPr="001C4185">
        <w:rPr>
          <w:rStyle w:val="FootnoteReference"/>
        </w:rPr>
        <w:footnoteReference w:id="45"/>
      </w:r>
      <w:r w:rsidR="00874AC0" w:rsidRPr="004A753F">
        <w:rPr>
          <w:rFonts w:cstheme="minorHAnsi"/>
          <w:i/>
        </w:rPr>
        <w:t xml:space="preserve"> </w:t>
      </w:r>
      <w:r w:rsidR="00401E58">
        <w:rPr>
          <w:rFonts w:cstheme="minorHAnsi"/>
          <w:iCs/>
        </w:rPr>
        <w:t xml:space="preserve">the court </w:t>
      </w:r>
      <w:r w:rsidR="00874AC0">
        <w:rPr>
          <w:rFonts w:cstheme="minorHAnsi"/>
        </w:rPr>
        <w:t xml:space="preserve">addressed the issue of </w:t>
      </w:r>
      <w:r w:rsidR="00874AC0" w:rsidRPr="004A753F">
        <w:rPr>
          <w:rFonts w:cstheme="minorHAnsi"/>
        </w:rPr>
        <w:t xml:space="preserve">excluding investments in energy companies competing with coal from </w:t>
      </w:r>
      <w:r w:rsidR="00301970">
        <w:rPr>
          <w:rFonts w:cstheme="minorHAnsi"/>
        </w:rPr>
        <w:t xml:space="preserve">the </w:t>
      </w:r>
      <w:r w:rsidR="00874AC0" w:rsidRPr="004A753F">
        <w:rPr>
          <w:rFonts w:cstheme="minorHAnsi"/>
        </w:rPr>
        <w:t>investment policy</w:t>
      </w:r>
      <w:r w:rsidR="00301970">
        <w:rPr>
          <w:rFonts w:cstheme="minorHAnsi"/>
        </w:rPr>
        <w:t xml:space="preserve"> of a miners’ pension fund</w:t>
      </w:r>
      <w:r w:rsidR="00874AC0" w:rsidRPr="004A753F">
        <w:rPr>
          <w:rFonts w:cstheme="minorHAnsi"/>
        </w:rPr>
        <w:t xml:space="preserve">. </w:t>
      </w:r>
      <w:r w:rsidR="00F40B53">
        <w:rPr>
          <w:rFonts w:cstheme="minorHAnsi"/>
        </w:rPr>
        <w:t>The court</w:t>
      </w:r>
      <w:r w:rsidR="00874AC0" w:rsidRPr="004A753F">
        <w:rPr>
          <w:rFonts w:cstheme="minorHAnsi"/>
        </w:rPr>
        <w:t xml:space="preserve"> held that the trustees must put aside their personal interests and simply achieve the best financial return for the </w:t>
      </w:r>
      <w:r w:rsidR="00080405">
        <w:rPr>
          <w:rFonts w:cstheme="minorHAnsi"/>
        </w:rPr>
        <w:t xml:space="preserve">fund </w:t>
      </w:r>
      <w:r w:rsidR="00874AC0" w:rsidRPr="004A753F">
        <w:rPr>
          <w:rFonts w:cstheme="minorHAnsi"/>
        </w:rPr>
        <w:t>beneficiaries.</w:t>
      </w:r>
      <w:r w:rsidR="00455A6D">
        <w:rPr>
          <w:rFonts w:cstheme="minorHAnsi"/>
        </w:rPr>
        <w:t xml:space="preserve"> </w:t>
      </w:r>
      <w:r w:rsidR="00874AC0" w:rsidRPr="00D42BD0">
        <w:rPr>
          <w:rFonts w:cstheme="minorHAnsi"/>
          <w:i/>
        </w:rPr>
        <w:t>Harries v Church Commissioners for England</w:t>
      </w:r>
      <w:r w:rsidR="00874AC0" w:rsidRPr="001C4185">
        <w:rPr>
          <w:rStyle w:val="FootnoteReference"/>
        </w:rPr>
        <w:footnoteReference w:id="46"/>
      </w:r>
      <w:r w:rsidR="00874AC0" w:rsidRPr="00D42BD0">
        <w:rPr>
          <w:rFonts w:cstheme="minorHAnsi"/>
          <w:i/>
        </w:rPr>
        <w:t xml:space="preserve"> </w:t>
      </w:r>
      <w:r w:rsidR="00874AC0">
        <w:rPr>
          <w:rFonts w:cstheme="minorHAnsi"/>
        </w:rPr>
        <w:t xml:space="preserve">concerned a </w:t>
      </w:r>
      <w:r w:rsidR="00874AC0" w:rsidRPr="00D42BD0">
        <w:rPr>
          <w:rFonts w:cstheme="minorHAnsi"/>
        </w:rPr>
        <w:t>boycott o</w:t>
      </w:r>
      <w:r w:rsidR="000201B7">
        <w:rPr>
          <w:rFonts w:cstheme="minorHAnsi"/>
        </w:rPr>
        <w:t>n</w:t>
      </w:r>
      <w:r w:rsidR="00874AC0" w:rsidRPr="00D42BD0">
        <w:rPr>
          <w:rFonts w:cstheme="minorHAnsi"/>
        </w:rPr>
        <w:t xml:space="preserve"> investment in companies from South Africa</w:t>
      </w:r>
      <w:r w:rsidR="00001AC1">
        <w:rPr>
          <w:rFonts w:cstheme="minorHAnsi"/>
        </w:rPr>
        <w:t xml:space="preserve"> during the period of apartheid</w:t>
      </w:r>
      <w:r w:rsidR="00874AC0" w:rsidRPr="00D42BD0">
        <w:rPr>
          <w:rFonts w:cstheme="minorHAnsi"/>
        </w:rPr>
        <w:t xml:space="preserve">. </w:t>
      </w:r>
      <w:r w:rsidR="00874AC0">
        <w:rPr>
          <w:rFonts w:cstheme="minorHAnsi"/>
        </w:rPr>
        <w:t xml:space="preserve">It was held that </w:t>
      </w:r>
      <w:r w:rsidR="00874AC0" w:rsidRPr="00D42BD0">
        <w:rPr>
          <w:rFonts w:cstheme="minorHAnsi"/>
        </w:rPr>
        <w:t xml:space="preserve">the </w:t>
      </w:r>
      <w:r w:rsidR="00AF734A">
        <w:rPr>
          <w:rFonts w:cstheme="minorHAnsi"/>
        </w:rPr>
        <w:t>C</w:t>
      </w:r>
      <w:r w:rsidR="00874AC0" w:rsidRPr="00D42BD0">
        <w:rPr>
          <w:rFonts w:cstheme="minorHAnsi"/>
        </w:rPr>
        <w:t>ommissioners’ policy of excluding investments in certain business activities which would be likely to be offensive to some members of the Church of England on moral grounds was proper</w:t>
      </w:r>
      <w:r w:rsidR="0097071A">
        <w:rPr>
          <w:rFonts w:cstheme="minorHAnsi"/>
        </w:rPr>
        <w:t>, because</w:t>
      </w:r>
      <w:r w:rsidR="00874AC0" w:rsidRPr="00D42BD0">
        <w:rPr>
          <w:rFonts w:cstheme="minorHAnsi"/>
        </w:rPr>
        <w:t xml:space="preserve"> an adequate range of other investments remained open</w:t>
      </w:r>
      <w:r w:rsidR="00256C93">
        <w:rPr>
          <w:rFonts w:cstheme="minorHAnsi"/>
        </w:rPr>
        <w:t xml:space="preserve"> to satisfy the financial requirements of the pension fund</w:t>
      </w:r>
      <w:r w:rsidR="00874AC0">
        <w:rPr>
          <w:rFonts w:cstheme="minorHAnsi"/>
        </w:rPr>
        <w:t xml:space="preserve">. However, </w:t>
      </w:r>
      <w:r w:rsidR="00AF734A">
        <w:rPr>
          <w:rFonts w:cstheme="minorHAnsi"/>
        </w:rPr>
        <w:t>the court</w:t>
      </w:r>
      <w:r w:rsidR="0097071A">
        <w:rPr>
          <w:rFonts w:cstheme="minorHAnsi"/>
        </w:rPr>
        <w:t xml:space="preserve"> also </w:t>
      </w:r>
      <w:r w:rsidR="00874AC0">
        <w:rPr>
          <w:rFonts w:cstheme="minorHAnsi"/>
        </w:rPr>
        <w:t xml:space="preserve">held that the </w:t>
      </w:r>
      <w:r w:rsidR="00AF734A">
        <w:rPr>
          <w:rFonts w:cstheme="minorHAnsi"/>
        </w:rPr>
        <w:t>C</w:t>
      </w:r>
      <w:r w:rsidR="00874AC0">
        <w:rPr>
          <w:rFonts w:cstheme="minorHAnsi"/>
        </w:rPr>
        <w:t>ommissioners</w:t>
      </w:r>
      <w:r w:rsidR="00874AC0" w:rsidRPr="00D42BD0">
        <w:rPr>
          <w:rFonts w:cstheme="minorHAnsi"/>
        </w:rPr>
        <w:t xml:space="preserve"> were right to refuse to adopt a more restrictive policy which entailed taking into account non-financial considerations to an extent which would give rise to risk of significant financial detriment to the </w:t>
      </w:r>
      <w:r w:rsidR="00534972">
        <w:rPr>
          <w:rFonts w:cstheme="minorHAnsi"/>
        </w:rPr>
        <w:t xml:space="preserve">fund. Such a policy would </w:t>
      </w:r>
      <w:r w:rsidR="00D25A42">
        <w:rPr>
          <w:rFonts w:cstheme="minorHAnsi"/>
        </w:rPr>
        <w:t xml:space="preserve">conflict with the duty of the fund trustees to </w:t>
      </w:r>
      <w:r w:rsidR="00CA19D3">
        <w:rPr>
          <w:rFonts w:cstheme="minorHAnsi"/>
        </w:rPr>
        <w:t>safeguard</w:t>
      </w:r>
      <w:r w:rsidR="00D25A42">
        <w:rPr>
          <w:rFonts w:cstheme="minorHAnsi"/>
        </w:rPr>
        <w:t xml:space="preserve"> the financial </w:t>
      </w:r>
      <w:r w:rsidR="00CA19D3">
        <w:rPr>
          <w:rFonts w:cstheme="minorHAnsi"/>
        </w:rPr>
        <w:t>returns provided by the pension fund</w:t>
      </w:r>
      <w:r w:rsidR="00874AC0" w:rsidRPr="00D42BD0">
        <w:rPr>
          <w:rFonts w:cstheme="minorHAnsi"/>
        </w:rPr>
        <w:t>.</w:t>
      </w:r>
      <w:r w:rsidR="00874AC0">
        <w:rPr>
          <w:rFonts w:cstheme="minorHAnsi"/>
        </w:rPr>
        <w:t xml:space="preserve"> </w:t>
      </w:r>
    </w:p>
    <w:p w14:paraId="26BA9B62" w14:textId="4191EF2F" w:rsidR="007F7FEE" w:rsidRDefault="00205B3A" w:rsidP="00656F8F">
      <w:pPr>
        <w:pStyle w:val="Heading1"/>
      </w:pPr>
      <w:r>
        <w:t xml:space="preserve">2. </w:t>
      </w:r>
      <w:r w:rsidR="002973F4">
        <w:t xml:space="preserve">The </w:t>
      </w:r>
      <w:r w:rsidR="00846CAE">
        <w:t xml:space="preserve">first </w:t>
      </w:r>
      <w:r w:rsidR="007234C8">
        <w:t>legal challenges</w:t>
      </w:r>
      <w:r w:rsidR="00846CAE">
        <w:t xml:space="preserve"> </w:t>
      </w:r>
      <w:r w:rsidR="00170355">
        <w:t>concerning</w:t>
      </w:r>
      <w:r w:rsidR="007234C8">
        <w:t xml:space="preserve"> </w:t>
      </w:r>
      <w:r w:rsidR="00846CAE">
        <w:t>c</w:t>
      </w:r>
      <w:r w:rsidR="00CE45DA">
        <w:t>limate change and directors</w:t>
      </w:r>
      <w:r w:rsidR="00A16C43">
        <w:t>’</w:t>
      </w:r>
      <w:r w:rsidR="00CE45DA">
        <w:t xml:space="preserve"> </w:t>
      </w:r>
      <w:r w:rsidR="005C368C">
        <w:t>duties</w:t>
      </w:r>
    </w:p>
    <w:p w14:paraId="3DEAF1A7" w14:textId="4D2E6FF6" w:rsidR="00817B3D" w:rsidRDefault="001A6D24" w:rsidP="00AB5C3C">
      <w:pPr>
        <w:pStyle w:val="MainBody0"/>
      </w:pPr>
      <w:r>
        <w:t>I turn to the recent legal challenges concerning climate change and directors’ duties.</w:t>
      </w:r>
      <w:r w:rsidR="00235B48">
        <w:t xml:space="preserve"> In </w:t>
      </w:r>
      <w:r w:rsidR="00876717" w:rsidRPr="00BB24F6">
        <w:rPr>
          <w:i/>
          <w:iCs/>
        </w:rPr>
        <w:t>ClientEarth</w:t>
      </w:r>
      <w:r w:rsidR="00BB24F6">
        <w:t xml:space="preserve"> </w:t>
      </w:r>
      <w:r w:rsidR="00BB24F6">
        <w:rPr>
          <w:i/>
          <w:iCs/>
        </w:rPr>
        <w:t>v Shell</w:t>
      </w:r>
      <w:r w:rsidR="00174F2C" w:rsidRPr="001C4185">
        <w:rPr>
          <w:rStyle w:val="FootnoteReference"/>
        </w:rPr>
        <w:footnoteReference w:id="47"/>
      </w:r>
      <w:r w:rsidR="00BB24F6">
        <w:t xml:space="preserve"> </w:t>
      </w:r>
      <w:r w:rsidR="00235B48">
        <w:t>t</w:t>
      </w:r>
      <w:r w:rsidR="008F23E9">
        <w:t>he claimant</w:t>
      </w:r>
      <w:r w:rsidR="00235B48">
        <w:t xml:space="preserve"> was</w:t>
      </w:r>
      <w:r w:rsidR="00F46246">
        <w:t xml:space="preserve"> a</w:t>
      </w:r>
      <w:r w:rsidR="001D391E">
        <w:t>n environmental organisation seek</w:t>
      </w:r>
      <w:r w:rsidR="00BA30A3">
        <w:t>ing</w:t>
      </w:r>
      <w:r w:rsidR="001D391E">
        <w:t xml:space="preserve"> to use the law </w:t>
      </w:r>
      <w:r w:rsidR="00F47F03">
        <w:t>to combat climate change</w:t>
      </w:r>
      <w:r w:rsidR="00EE6558">
        <w:t xml:space="preserve">. </w:t>
      </w:r>
      <w:r w:rsidR="00BA30A3">
        <w:t>It</w:t>
      </w:r>
      <w:r w:rsidR="00EE6558">
        <w:t xml:space="preserve"> </w:t>
      </w:r>
      <w:r w:rsidR="00AE3773">
        <w:t xml:space="preserve">held </w:t>
      </w:r>
      <w:r w:rsidR="00EB1BFF">
        <w:t>27 ordinary shares in Shell, the multinational oil company</w:t>
      </w:r>
      <w:r w:rsidR="00CE6934">
        <w:t xml:space="preserve">, which entitled it </w:t>
      </w:r>
      <w:r w:rsidR="00991B54">
        <w:t xml:space="preserve">to </w:t>
      </w:r>
      <w:r w:rsidR="00A01E5D">
        <w:t xml:space="preserve">seek permission </w:t>
      </w:r>
      <w:r w:rsidR="00CE6934">
        <w:t xml:space="preserve">to </w:t>
      </w:r>
      <w:r w:rsidR="00B478AD">
        <w:t xml:space="preserve">bring a derivative claim </w:t>
      </w:r>
      <w:r w:rsidR="003807F7">
        <w:t>against the directors</w:t>
      </w:r>
      <w:r w:rsidR="00B103D9">
        <w:t>.</w:t>
      </w:r>
      <w:r w:rsidR="00905F0F">
        <w:t xml:space="preserve"> </w:t>
      </w:r>
      <w:r w:rsidR="00E5078B" w:rsidRPr="00E5078B">
        <w:t>ClientEarth</w:t>
      </w:r>
      <w:r w:rsidR="00EA730A">
        <w:t xml:space="preserve"> argued</w:t>
      </w:r>
      <w:r w:rsidR="00E5078B" w:rsidRPr="00E5078B">
        <w:t xml:space="preserve"> </w:t>
      </w:r>
      <w:r w:rsidR="007E38C8">
        <w:t xml:space="preserve">that </w:t>
      </w:r>
      <w:r w:rsidR="002404D9">
        <w:t xml:space="preserve">Shell’s directors had breached their duties </w:t>
      </w:r>
      <w:r w:rsidR="00EA730A">
        <w:t>to the company</w:t>
      </w:r>
      <w:r w:rsidR="00627F2E">
        <w:t xml:space="preserve"> </w:t>
      </w:r>
      <w:r w:rsidR="002404D9">
        <w:t>by failing to</w:t>
      </w:r>
      <w:r w:rsidR="00333E07">
        <w:t xml:space="preserve"> take adequate action</w:t>
      </w:r>
      <w:r w:rsidR="00241D9F">
        <w:t xml:space="preserve"> in response to</w:t>
      </w:r>
      <w:r w:rsidR="00561A05">
        <w:t xml:space="preserve"> climate risk</w:t>
      </w:r>
      <w:r w:rsidR="00627F2E">
        <w:t>s</w:t>
      </w:r>
      <w:r w:rsidR="00F45E5E">
        <w:t xml:space="preserve"> for Shell’s financial position</w:t>
      </w:r>
      <w:r w:rsidR="002404D9">
        <w:t>.</w:t>
      </w:r>
      <w:r w:rsidR="00561A05">
        <w:t xml:space="preserve"> </w:t>
      </w:r>
      <w:r w:rsidR="00F45E5E">
        <w:t xml:space="preserve">Those risks were said to be </w:t>
      </w:r>
      <w:r w:rsidR="00492B23" w:rsidRPr="00492B23">
        <w:t>commercial,</w:t>
      </w:r>
      <w:r w:rsidR="00492B23">
        <w:t xml:space="preserve"> </w:t>
      </w:r>
      <w:r w:rsidR="00492B23" w:rsidRPr="00492B23">
        <w:t>regulatory, societal and physical</w:t>
      </w:r>
      <w:r w:rsidR="007B0728">
        <w:t>.</w:t>
      </w:r>
      <w:r w:rsidR="00E13735" w:rsidRPr="001C4185">
        <w:rPr>
          <w:rStyle w:val="FootnoteReference"/>
        </w:rPr>
        <w:footnoteReference w:id="48"/>
      </w:r>
      <w:r w:rsidR="007B0728">
        <w:t xml:space="preserve"> </w:t>
      </w:r>
      <w:r w:rsidR="00100738">
        <w:t>The</w:t>
      </w:r>
      <w:r w:rsidR="007C08F8">
        <w:t>y</w:t>
      </w:r>
      <w:r w:rsidR="00100738">
        <w:t xml:space="preserve"> included changes in </w:t>
      </w:r>
      <w:r w:rsidR="009D6F7B">
        <w:t>regulatory regime</w:t>
      </w:r>
      <w:r w:rsidR="00427D09">
        <w:t>s</w:t>
      </w:r>
      <w:r w:rsidR="009D6F7B">
        <w:t xml:space="preserve"> </w:t>
      </w:r>
      <w:r w:rsidR="00D403DA">
        <w:t>leading</w:t>
      </w:r>
      <w:r w:rsidR="009D6F7B">
        <w:t xml:space="preserve"> to</w:t>
      </w:r>
      <w:r w:rsidR="00FB544B">
        <w:t xml:space="preserve"> restrictions on greenhouse gas emissions</w:t>
      </w:r>
      <w:r w:rsidR="009D6F7B">
        <w:t>,</w:t>
      </w:r>
      <w:r w:rsidR="00375FC0">
        <w:t xml:space="preserve"> </w:t>
      </w:r>
      <w:r w:rsidR="002514AC">
        <w:t>and</w:t>
      </w:r>
      <w:r w:rsidR="00FB544B">
        <w:t xml:space="preserve"> </w:t>
      </w:r>
      <w:r w:rsidR="000D5AD8">
        <w:t>rising</w:t>
      </w:r>
      <w:r w:rsidR="00F75D09">
        <w:t xml:space="preserve"> public</w:t>
      </w:r>
      <w:r w:rsidR="000D5AD8">
        <w:t xml:space="preserve"> concern regarding fossil fuels </w:t>
      </w:r>
      <w:r w:rsidR="00D403DA">
        <w:t xml:space="preserve">resulting in </w:t>
      </w:r>
      <w:r w:rsidR="000D5AD8">
        <w:t>a decrease in demand</w:t>
      </w:r>
      <w:r w:rsidR="00AB5C3C">
        <w:t xml:space="preserve"> and </w:t>
      </w:r>
      <w:r w:rsidR="007C08F8">
        <w:t>which could result in</w:t>
      </w:r>
      <w:r w:rsidR="00AB5C3C" w:rsidRPr="00AB5C3C">
        <w:t xml:space="preserve"> </w:t>
      </w:r>
      <w:r w:rsidR="005D6BB0">
        <w:t xml:space="preserve">its </w:t>
      </w:r>
      <w:r w:rsidR="00AB5C3C" w:rsidRPr="00AB5C3C">
        <w:t>oil and gas assets</w:t>
      </w:r>
      <w:r w:rsidR="00A71ADF">
        <w:t xml:space="preserve"> </w:t>
      </w:r>
      <w:r w:rsidR="005D6BB0">
        <w:t>becoming stranded, that is not capable of profitable utilisation</w:t>
      </w:r>
      <w:r w:rsidR="00AB5C3C">
        <w:t xml:space="preserve">. </w:t>
      </w:r>
      <w:r w:rsidR="008846B5">
        <w:t xml:space="preserve">In order to </w:t>
      </w:r>
      <w:r w:rsidR="008846B5">
        <w:lastRenderedPageBreak/>
        <w:t>be given permission to bring a derivative claim</w:t>
      </w:r>
      <w:r w:rsidR="002404D9">
        <w:t xml:space="preserve">, </w:t>
      </w:r>
      <w:r w:rsidR="00D9476F">
        <w:t>ClientEarth</w:t>
      </w:r>
      <w:r w:rsidR="002404D9">
        <w:t xml:space="preserve"> had to establish a prima facie</w:t>
      </w:r>
      <w:bookmarkStart w:id="2" w:name="para34"/>
      <w:r w:rsidR="00C219D5">
        <w:t xml:space="preserve"> case</w:t>
      </w:r>
      <w:r w:rsidR="008846B5">
        <w:t xml:space="preserve"> of breach of duty</w:t>
      </w:r>
      <w:r w:rsidR="00241D9F" w:rsidRPr="00241D9F">
        <w:t>.</w:t>
      </w:r>
      <w:bookmarkEnd w:id="2"/>
      <w:r w:rsidR="005A0825" w:rsidRPr="001C4185">
        <w:rPr>
          <w:rStyle w:val="FootnoteReference"/>
        </w:rPr>
        <w:footnoteReference w:id="49"/>
      </w:r>
      <w:r w:rsidR="00B21769">
        <w:t xml:space="preserve"> </w:t>
      </w:r>
      <w:r w:rsidR="00DB117C">
        <w:t xml:space="preserve">Mr Justice Trower </w:t>
      </w:r>
      <w:r w:rsidR="00444A0E">
        <w:t>held</w:t>
      </w:r>
      <w:r w:rsidR="000F0D1C">
        <w:t xml:space="preserve"> </w:t>
      </w:r>
      <w:r w:rsidR="00551A7C">
        <w:t>it</w:t>
      </w:r>
      <w:r w:rsidR="00D7104F">
        <w:t xml:space="preserve"> </w:t>
      </w:r>
      <w:r w:rsidR="00444A0E">
        <w:t xml:space="preserve">failed to </w:t>
      </w:r>
      <w:r w:rsidR="005D3200">
        <w:t>do this</w:t>
      </w:r>
      <w:r w:rsidR="000F0D1C">
        <w:t>.</w:t>
      </w:r>
    </w:p>
    <w:p w14:paraId="2A81312E" w14:textId="016F98BF" w:rsidR="00F61D16" w:rsidRDefault="00817B3D" w:rsidP="00876717">
      <w:pPr>
        <w:pStyle w:val="MainBody0"/>
      </w:pPr>
      <w:r>
        <w:t>ClientEarth relie</w:t>
      </w:r>
      <w:r w:rsidR="002D1787">
        <w:t>d</w:t>
      </w:r>
      <w:r>
        <w:t xml:space="preserve"> on </w:t>
      </w:r>
      <w:r w:rsidR="00D504E8">
        <w:t xml:space="preserve">both the duty to </w:t>
      </w:r>
      <w:r>
        <w:t xml:space="preserve">promote the success of the company in section 172 and the duty to </w:t>
      </w:r>
      <w:r w:rsidR="00D804B3" w:rsidRPr="00D0342D">
        <w:t>exercise reasonable care, skill and diligence</w:t>
      </w:r>
      <w:r w:rsidR="00627F1E">
        <w:t xml:space="preserve"> in section 174</w:t>
      </w:r>
      <w:r w:rsidR="00D804B3" w:rsidRPr="00D0342D">
        <w:t>.</w:t>
      </w:r>
      <w:r w:rsidR="00627F1E">
        <w:t xml:space="preserve"> </w:t>
      </w:r>
      <w:r w:rsidR="00776B46">
        <w:t xml:space="preserve">It was argued that </w:t>
      </w:r>
      <w:bookmarkStart w:id="3" w:name="para16"/>
      <w:r w:rsidR="00463457">
        <w:t xml:space="preserve">there were </w:t>
      </w:r>
      <w:r w:rsidR="00776B46" w:rsidRPr="00776B46">
        <w:t xml:space="preserve">six </w:t>
      </w:r>
      <w:r w:rsidR="005F2CB6">
        <w:t xml:space="preserve">incidental duties </w:t>
      </w:r>
      <w:r w:rsidR="004101A9">
        <w:t xml:space="preserve">regarding climate risk </w:t>
      </w:r>
      <w:r w:rsidR="0074662B">
        <w:t xml:space="preserve">to which </w:t>
      </w:r>
      <w:r w:rsidR="005F2CB6">
        <w:t>th</w:t>
      </w:r>
      <w:r w:rsidR="004101A9">
        <w:t>ose general duties gave rise</w:t>
      </w:r>
      <w:r w:rsidR="00776B46" w:rsidRPr="00776B46">
        <w:t>.</w:t>
      </w:r>
      <w:bookmarkEnd w:id="3"/>
      <w:r w:rsidR="00730D5F" w:rsidRPr="001C4185">
        <w:rPr>
          <w:rStyle w:val="FootnoteReference"/>
        </w:rPr>
        <w:footnoteReference w:id="50"/>
      </w:r>
      <w:r w:rsidR="000333DE">
        <w:t xml:space="preserve"> </w:t>
      </w:r>
      <w:r w:rsidR="000755F8">
        <w:t xml:space="preserve">These included </w:t>
      </w:r>
      <w:r w:rsidR="000755F8" w:rsidRPr="000755F8">
        <w:t>a duty to make judgments regarding climate risk that are based upon a reasonable consensus of scientific opinion</w:t>
      </w:r>
      <w:r w:rsidR="000755F8">
        <w:t xml:space="preserve"> and </w:t>
      </w:r>
      <w:r w:rsidR="00730D5F" w:rsidRPr="00730D5F">
        <w:t>a duty to adopt strategies which are reasonably likely to meet Shell</w:t>
      </w:r>
      <w:r w:rsidR="00462D5D">
        <w:t>’</w:t>
      </w:r>
      <w:r w:rsidR="00730D5F" w:rsidRPr="00730D5F">
        <w:t>s targets to mitigate climate risk</w:t>
      </w:r>
      <w:r w:rsidR="00730D5F">
        <w:t xml:space="preserve">. </w:t>
      </w:r>
      <w:r w:rsidR="00DB117C">
        <w:t>The judge</w:t>
      </w:r>
      <w:r w:rsidR="00160DB2">
        <w:t xml:space="preserve"> </w:t>
      </w:r>
      <w:r w:rsidR="00A73F06">
        <w:t xml:space="preserve">held </w:t>
      </w:r>
      <w:r w:rsidR="00371179">
        <w:t xml:space="preserve">ClientEarth’s attempt to establish these </w:t>
      </w:r>
      <w:r w:rsidR="000D75BB">
        <w:t>incidental duties was misconceived</w:t>
      </w:r>
      <w:r w:rsidR="00F245B7">
        <w:t xml:space="preserve">, </w:t>
      </w:r>
      <w:r w:rsidR="000D75BB">
        <w:t xml:space="preserve">as </w:t>
      </w:r>
      <w:bookmarkStart w:id="4" w:name="para19"/>
      <w:r w:rsidR="00247421">
        <w:t>they</w:t>
      </w:r>
      <w:r w:rsidR="00247421" w:rsidRPr="00247421">
        <w:t xml:space="preserve"> </w:t>
      </w:r>
      <w:r w:rsidR="00247421">
        <w:t xml:space="preserve">sought </w:t>
      </w:r>
      <w:r w:rsidR="00247421" w:rsidRPr="00247421">
        <w:t xml:space="preserve">to impose specific obligations on </w:t>
      </w:r>
      <w:r w:rsidR="009F4601">
        <w:t>d</w:t>
      </w:r>
      <w:r w:rsidR="00247421" w:rsidRPr="00247421">
        <w:t>irectors as to how the management of Shell</w:t>
      </w:r>
      <w:r w:rsidR="00DD573A">
        <w:t>’</w:t>
      </w:r>
      <w:r w:rsidR="00247421" w:rsidRPr="00247421">
        <w:t>s business should be conducted</w:t>
      </w:r>
      <w:bookmarkEnd w:id="4"/>
      <w:r w:rsidR="00C37AA4">
        <w:t xml:space="preserve">. </w:t>
      </w:r>
      <w:r w:rsidR="00B42805">
        <w:t xml:space="preserve">This was contrary to the </w:t>
      </w:r>
      <w:r w:rsidR="00C34463">
        <w:t>subjective nature of the duty in section 172</w:t>
      </w:r>
      <w:r w:rsidR="009916F2">
        <w:t>,</w:t>
      </w:r>
      <w:r w:rsidR="00C34463">
        <w:t xml:space="preserve"> </w:t>
      </w:r>
      <w:r w:rsidR="007072E6">
        <w:t xml:space="preserve">which meant it was for directors to </w:t>
      </w:r>
      <w:r w:rsidR="001623F0">
        <w:t>determine in good faith how to promote the success of the company.</w:t>
      </w:r>
      <w:r w:rsidR="00B87C2E" w:rsidRPr="001C4185">
        <w:rPr>
          <w:rStyle w:val="FootnoteReference"/>
        </w:rPr>
        <w:footnoteReference w:id="51"/>
      </w:r>
      <w:r w:rsidR="001623F0">
        <w:t xml:space="preserve"> Similarly, </w:t>
      </w:r>
      <w:r w:rsidR="00704B48">
        <w:t>the</w:t>
      </w:r>
      <w:r w:rsidR="001A6865">
        <w:t xml:space="preserve"> only</w:t>
      </w:r>
      <w:r w:rsidR="00704B48">
        <w:t xml:space="preserve"> question under section 174</w:t>
      </w:r>
      <w:r w:rsidR="001E42D3">
        <w:t xml:space="preserve"> was whether </w:t>
      </w:r>
      <w:r w:rsidR="00580828">
        <w:t xml:space="preserve">the directors had exercised reasonable </w:t>
      </w:r>
      <w:r w:rsidR="00580828" w:rsidRPr="00580828">
        <w:t>care, skill and diligence</w:t>
      </w:r>
      <w:r w:rsidR="00580828">
        <w:t xml:space="preserve"> and</w:t>
      </w:r>
      <w:r w:rsidR="00580828" w:rsidRPr="00580828">
        <w:t xml:space="preserve"> </w:t>
      </w:r>
      <w:r w:rsidR="00580828">
        <w:t>t</w:t>
      </w:r>
      <w:r w:rsidR="00580828" w:rsidRPr="00580828">
        <w:t xml:space="preserve">he law </w:t>
      </w:r>
      <w:r w:rsidR="00C52F6B">
        <w:t xml:space="preserve">did </w:t>
      </w:r>
      <w:r w:rsidR="00580828" w:rsidRPr="00580828">
        <w:t xml:space="preserve">not </w:t>
      </w:r>
      <w:r w:rsidR="00C52F6B">
        <w:t>“</w:t>
      </w:r>
      <w:r w:rsidR="00580828" w:rsidRPr="00580828">
        <w:t>superimpose on that duty more specific obligations as to what is and is not reasonable in every circumstance</w:t>
      </w:r>
      <w:r w:rsidR="00C52F6B">
        <w:t>”.</w:t>
      </w:r>
      <w:r w:rsidR="00C52F6B" w:rsidRPr="001C4185">
        <w:rPr>
          <w:rStyle w:val="FootnoteReference"/>
        </w:rPr>
        <w:footnoteReference w:id="52"/>
      </w:r>
    </w:p>
    <w:p w14:paraId="703B5A80" w14:textId="65B83157" w:rsidR="00954AD5" w:rsidRPr="000D2B9E" w:rsidRDefault="001D4C9B" w:rsidP="00876717">
      <w:pPr>
        <w:pStyle w:val="MainBody0"/>
        <w:rPr>
          <w:i/>
          <w:iCs/>
        </w:rPr>
      </w:pPr>
      <w:r>
        <w:t>The judge</w:t>
      </w:r>
      <w:r w:rsidR="00954AD5">
        <w:t xml:space="preserve"> consider</w:t>
      </w:r>
      <w:r w:rsidR="00C851BF">
        <w:t>ed</w:t>
      </w:r>
      <w:r w:rsidR="00954AD5">
        <w:t xml:space="preserve"> whether Shell had made out </w:t>
      </w:r>
      <w:r w:rsidR="00760EF5">
        <w:t>a prima facie</w:t>
      </w:r>
      <w:r w:rsidR="00954AD5">
        <w:t xml:space="preserve"> breach of the </w:t>
      </w:r>
      <w:r w:rsidR="00B27105">
        <w:t>two</w:t>
      </w:r>
      <w:r w:rsidR="00954AD5">
        <w:t xml:space="preserve"> general duties</w:t>
      </w:r>
      <w:r w:rsidR="00FE5CF5">
        <w:t xml:space="preserve">. </w:t>
      </w:r>
      <w:r w:rsidR="00824567">
        <w:t xml:space="preserve">The core of ClientEarth’s case </w:t>
      </w:r>
      <w:r w:rsidR="0066729C">
        <w:t xml:space="preserve">related to Shell’s </w:t>
      </w:r>
      <w:r w:rsidR="00CD068A" w:rsidRPr="00CD068A">
        <w:t xml:space="preserve">‘energy transition strategy’, </w:t>
      </w:r>
      <w:r w:rsidR="00CD068A">
        <w:t xml:space="preserve">which </w:t>
      </w:r>
      <w:r w:rsidR="00CD068A" w:rsidRPr="00CD068A">
        <w:t>set an overall target to become a net zero business by 2050</w:t>
      </w:r>
      <w:r w:rsidR="00C05D9D">
        <w:t xml:space="preserve"> and </w:t>
      </w:r>
      <w:r w:rsidR="002D024A">
        <w:t xml:space="preserve">comply </w:t>
      </w:r>
      <w:r w:rsidR="00CD068A" w:rsidRPr="00CD068A">
        <w:t xml:space="preserve">with the global temperature objective of 1.5°C under the Paris Agreement. </w:t>
      </w:r>
      <w:r w:rsidR="00C12D7B">
        <w:t xml:space="preserve">ClientEarth </w:t>
      </w:r>
      <w:r w:rsidR="009A10D7">
        <w:t>claimed that</w:t>
      </w:r>
      <w:r w:rsidR="00C12D7B">
        <w:t xml:space="preserve"> Shell</w:t>
      </w:r>
      <w:r w:rsidR="00C12D7B" w:rsidRPr="00C12D7B">
        <w:t xml:space="preserve"> </w:t>
      </w:r>
      <w:r w:rsidR="00C12D7B">
        <w:t xml:space="preserve">had </w:t>
      </w:r>
      <w:r w:rsidR="00C12D7B" w:rsidRPr="00C12D7B">
        <w:t>failed to put in place policies reasonably capable of achieving those objectives</w:t>
      </w:r>
      <w:r w:rsidR="00FB0236">
        <w:t>.</w:t>
      </w:r>
      <w:r w:rsidR="001F5103" w:rsidRPr="001C4185">
        <w:rPr>
          <w:rStyle w:val="FootnoteReference"/>
        </w:rPr>
        <w:footnoteReference w:id="53"/>
      </w:r>
      <w:r w:rsidR="00C12D7B" w:rsidRPr="00C12D7B">
        <w:t xml:space="preserve"> </w:t>
      </w:r>
      <w:r w:rsidR="00CF3060">
        <w:t>I</w:t>
      </w:r>
      <w:r w:rsidR="00EF1116">
        <w:t xml:space="preserve">t was claimed that Shell’s </w:t>
      </w:r>
      <w:r w:rsidR="003E3CC6">
        <w:t>strategy did not</w:t>
      </w:r>
      <w:r w:rsidR="005F6973">
        <w:t xml:space="preserve"> set out a</w:t>
      </w:r>
      <w:r w:rsidR="003A2A25">
        <w:t xml:space="preserve"> </w:t>
      </w:r>
      <w:r w:rsidR="00C51A2F">
        <w:t xml:space="preserve">realistic </w:t>
      </w:r>
      <w:r w:rsidR="003A2A25">
        <w:t xml:space="preserve">pathway </w:t>
      </w:r>
      <w:r w:rsidR="007D7761">
        <w:t>to achieving Shell’s stated ambition of achieving net-zero by 20</w:t>
      </w:r>
      <w:r w:rsidR="00553D3D">
        <w:t>3</w:t>
      </w:r>
      <w:r w:rsidR="007D7761">
        <w:t>0</w:t>
      </w:r>
      <w:r w:rsidR="003E3CC6">
        <w:t>;</w:t>
      </w:r>
      <w:r w:rsidR="007D7761" w:rsidRPr="001C4185">
        <w:rPr>
          <w:rStyle w:val="FootnoteReference"/>
        </w:rPr>
        <w:footnoteReference w:id="54"/>
      </w:r>
      <w:r w:rsidR="0079292C">
        <w:t xml:space="preserve"> </w:t>
      </w:r>
      <w:r w:rsidR="00553D83">
        <w:t xml:space="preserve">that </w:t>
      </w:r>
      <w:r w:rsidR="00553D83" w:rsidRPr="00553D83">
        <w:t>Shell</w:t>
      </w:r>
      <w:r w:rsidR="00553D83">
        <w:t>’s directors proposed to make significant new investments in fossil fuel projects</w:t>
      </w:r>
      <w:r w:rsidR="00553D3D">
        <w:t>; and</w:t>
      </w:r>
      <w:r w:rsidR="00B27462">
        <w:t xml:space="preserve"> </w:t>
      </w:r>
      <w:r w:rsidR="00553D3D">
        <w:t xml:space="preserve">that </w:t>
      </w:r>
      <w:r w:rsidR="00F60ABB">
        <w:t xml:space="preserve">Shell was failing to comply with </w:t>
      </w:r>
      <w:r w:rsidR="00825C6E">
        <w:t>an</w:t>
      </w:r>
      <w:r w:rsidR="00F60ABB">
        <w:t xml:space="preserve"> order of a Dutch court</w:t>
      </w:r>
      <w:r w:rsidR="00EE1C81">
        <w:t xml:space="preserve">, which had </w:t>
      </w:r>
      <w:r w:rsidR="00A3199D" w:rsidRPr="00A3199D">
        <w:t>imposed a 45% emissions reduction obligation on Shell to be achieved by 2030</w:t>
      </w:r>
      <w:r w:rsidR="00A3199D">
        <w:t>.</w:t>
      </w:r>
      <w:r w:rsidR="00C112F8" w:rsidRPr="001C4185">
        <w:rPr>
          <w:rStyle w:val="FootnoteReference"/>
        </w:rPr>
        <w:footnoteReference w:id="55"/>
      </w:r>
      <w:r w:rsidR="001602B7">
        <w:t xml:space="preserve"> </w:t>
      </w:r>
    </w:p>
    <w:p w14:paraId="2485378E" w14:textId="12D948A0" w:rsidR="00ED0859" w:rsidRDefault="000138F8" w:rsidP="00ED0859">
      <w:pPr>
        <w:pStyle w:val="MainBody0"/>
      </w:pPr>
      <w:r>
        <w:t xml:space="preserve">The judge </w:t>
      </w:r>
      <w:r w:rsidR="001C1724">
        <w:t xml:space="preserve">found there was no </w:t>
      </w:r>
      <w:r w:rsidR="00CD31D4">
        <w:t xml:space="preserve">prima facie </w:t>
      </w:r>
      <w:r w:rsidR="001C1724">
        <w:t xml:space="preserve">breach </w:t>
      </w:r>
      <w:r w:rsidR="00CD31D4">
        <w:t>of duty</w:t>
      </w:r>
      <w:r w:rsidR="001D4C9B">
        <w:t xml:space="preserve">. </w:t>
      </w:r>
      <w:r w:rsidR="00CD31D4">
        <w:t>T</w:t>
      </w:r>
      <w:r w:rsidR="00E72F46">
        <w:t xml:space="preserve">he evidence </w:t>
      </w:r>
      <w:r w:rsidR="005014AA">
        <w:t xml:space="preserve">for </w:t>
      </w:r>
      <w:r w:rsidR="00E72F46">
        <w:t xml:space="preserve">ClientEarth was given by </w:t>
      </w:r>
      <w:r w:rsidR="007F25AF">
        <w:t xml:space="preserve">a </w:t>
      </w:r>
      <w:r w:rsidR="005014AA">
        <w:t>senior lawyer, who</w:t>
      </w:r>
      <w:r w:rsidR="00E22F52">
        <w:t xml:space="preserve"> did not have expertise in </w:t>
      </w:r>
      <w:r w:rsidR="0059214B" w:rsidRPr="0059214B">
        <w:t xml:space="preserve">climate science, </w:t>
      </w:r>
      <w:r w:rsidR="003D1B86">
        <w:t>or</w:t>
      </w:r>
      <w:r w:rsidR="0059214B" w:rsidRPr="0059214B">
        <w:t xml:space="preserve"> oil and gas</w:t>
      </w:r>
      <w:r w:rsidR="00A024BF">
        <w:t xml:space="preserve"> economics</w:t>
      </w:r>
      <w:r w:rsidR="00706FF6">
        <w:t>; so it carried little weight</w:t>
      </w:r>
      <w:r w:rsidR="00861C29">
        <w:t>.</w:t>
      </w:r>
      <w:r w:rsidR="002938E7" w:rsidRPr="001C4185">
        <w:rPr>
          <w:rStyle w:val="FootnoteReference"/>
        </w:rPr>
        <w:footnoteReference w:id="56"/>
      </w:r>
      <w:r w:rsidR="00ED3051">
        <w:t xml:space="preserve"> </w:t>
      </w:r>
      <w:r w:rsidR="00CD0129">
        <w:t>T</w:t>
      </w:r>
      <w:r w:rsidR="00CD4BE8">
        <w:t>here was no universally accepted method for achieving emissions reductions and</w:t>
      </w:r>
      <w:r w:rsidR="00B77307" w:rsidRPr="00B77307">
        <w:t xml:space="preserve"> there</w:t>
      </w:r>
      <w:r w:rsidR="0082580C">
        <w:t xml:space="preserve">fore no basis for </w:t>
      </w:r>
      <w:r w:rsidR="000B58AF">
        <w:t>concluding</w:t>
      </w:r>
      <w:r w:rsidR="0082580C">
        <w:t xml:space="preserve"> that no reasonable board of directors could adopt Shell’s </w:t>
      </w:r>
      <w:r w:rsidR="00EE6B1A">
        <w:t>pathway to achieving its goals.</w:t>
      </w:r>
      <w:r w:rsidR="002938E7" w:rsidRPr="001C4185">
        <w:rPr>
          <w:rStyle w:val="FootnoteReference"/>
        </w:rPr>
        <w:footnoteReference w:id="57"/>
      </w:r>
      <w:r w:rsidR="00EE6B1A">
        <w:t xml:space="preserve"> </w:t>
      </w:r>
      <w:r w:rsidR="00D46F24">
        <w:t xml:space="preserve">ClientEarth </w:t>
      </w:r>
      <w:r w:rsidR="00C42CA9">
        <w:t xml:space="preserve">argued </w:t>
      </w:r>
      <w:r w:rsidR="00D46F24">
        <w:t>that Shell</w:t>
      </w:r>
      <w:r w:rsidR="00C42CA9">
        <w:t>’s</w:t>
      </w:r>
      <w:bookmarkStart w:id="5" w:name="para48"/>
      <w:r w:rsidR="006B2FEA">
        <w:t xml:space="preserve"> </w:t>
      </w:r>
      <w:r w:rsidR="004F2B58" w:rsidRPr="004F2B58">
        <w:t xml:space="preserve">policies to achieve </w:t>
      </w:r>
      <w:r w:rsidR="004F2B58">
        <w:t>net-zero</w:t>
      </w:r>
      <w:r w:rsidR="004F2B58" w:rsidRPr="004F2B58">
        <w:t xml:space="preserve"> by 2050 </w:t>
      </w:r>
      <w:r w:rsidR="005F19F9">
        <w:t>were</w:t>
      </w:r>
      <w:r w:rsidR="004F2B58" w:rsidRPr="004F2B58">
        <w:t xml:space="preserve"> manifestly unreasonable</w:t>
      </w:r>
      <w:r w:rsidR="008D28A2">
        <w:t>; h</w:t>
      </w:r>
      <w:bookmarkEnd w:id="5"/>
      <w:r w:rsidR="004F2B58">
        <w:t xml:space="preserve">owever, </w:t>
      </w:r>
      <w:r w:rsidR="00FF5503">
        <w:t>ClientEarth’s</w:t>
      </w:r>
      <w:r w:rsidR="004F2B58">
        <w:t xml:space="preserve"> </w:t>
      </w:r>
      <w:r w:rsidR="0073723A" w:rsidRPr="0073723A">
        <w:t xml:space="preserve">evidence </w:t>
      </w:r>
      <w:r w:rsidR="0073723A">
        <w:t xml:space="preserve">did </w:t>
      </w:r>
      <w:r w:rsidR="0073723A" w:rsidRPr="0073723A">
        <w:t xml:space="preserve">not engage with the issue of how </w:t>
      </w:r>
      <w:r w:rsidR="00260294">
        <w:t xml:space="preserve">Shell’s </w:t>
      </w:r>
      <w:r w:rsidR="00160F2D">
        <w:t>d</w:t>
      </w:r>
      <w:r w:rsidR="0073723A" w:rsidRPr="0073723A">
        <w:t>irector</w:t>
      </w:r>
      <w:r w:rsidR="003C56F7">
        <w:t xml:space="preserve">s had </w:t>
      </w:r>
      <w:r w:rsidR="0073723A" w:rsidRPr="0073723A">
        <w:t xml:space="preserve">gone wrong in their </w:t>
      </w:r>
      <w:r w:rsidR="00CC7120">
        <w:t xml:space="preserve">balancing of the </w:t>
      </w:r>
      <w:r w:rsidR="00CC7120" w:rsidRPr="00CC7120">
        <w:t>competing considerations</w:t>
      </w:r>
      <w:r w:rsidR="002D56F1">
        <w:t xml:space="preserve"> regarding climate risk</w:t>
      </w:r>
      <w:r w:rsidR="001E7BA1">
        <w:t xml:space="preserve"> and therefore did not demonstrate it was unreasonable</w:t>
      </w:r>
      <w:r w:rsidR="002D56F1">
        <w:t>.</w:t>
      </w:r>
      <w:r w:rsidR="00975DF2" w:rsidRPr="001C4185">
        <w:rPr>
          <w:rStyle w:val="FootnoteReference"/>
        </w:rPr>
        <w:footnoteReference w:id="58"/>
      </w:r>
      <w:r w:rsidR="00FD53B0">
        <w:t xml:space="preserve"> </w:t>
      </w:r>
      <w:r w:rsidR="00A32EC4">
        <w:t>A</w:t>
      </w:r>
      <w:r w:rsidR="0078236C">
        <w:t>s for the Dutch order, this ha</w:t>
      </w:r>
      <w:r w:rsidR="00FD1E3C">
        <w:t>d</w:t>
      </w:r>
      <w:r w:rsidR="0078236C">
        <w:t xml:space="preserve"> given Shell complete freedom as to how</w:t>
      </w:r>
      <w:r w:rsidR="00CE5E8C">
        <w:t xml:space="preserve"> to achieve the 45% emissions </w:t>
      </w:r>
      <w:r w:rsidR="00953003">
        <w:t xml:space="preserve">reduction </w:t>
      </w:r>
      <w:r w:rsidR="00CE5E8C">
        <w:t>target</w:t>
      </w:r>
      <w:r w:rsidR="00EE1A83">
        <w:t xml:space="preserve"> and there was no </w:t>
      </w:r>
      <w:r w:rsidR="00EE1A83" w:rsidRPr="00EE1A83">
        <w:rPr>
          <w:i/>
          <w:iCs/>
        </w:rPr>
        <w:t>prima facie</w:t>
      </w:r>
      <w:r w:rsidR="00EE1A83">
        <w:t xml:space="preserve"> case that</w:t>
      </w:r>
      <w:r w:rsidR="00265591">
        <w:t xml:space="preserve"> Shell had </w:t>
      </w:r>
      <w:r w:rsidR="007D0189">
        <w:t>failed to comply</w:t>
      </w:r>
      <w:r w:rsidR="009D3444">
        <w:t xml:space="preserve">. </w:t>
      </w:r>
    </w:p>
    <w:p w14:paraId="411E439B" w14:textId="262196BF" w:rsidR="00442F3F" w:rsidRDefault="0029136D" w:rsidP="00ED0859">
      <w:pPr>
        <w:pStyle w:val="MainBody0"/>
      </w:pPr>
      <w:r>
        <w:lastRenderedPageBreak/>
        <w:t xml:space="preserve">The judge also considered the relief </w:t>
      </w:r>
      <w:r w:rsidR="00B65A61">
        <w:t xml:space="preserve">sought by ClientEarth was inappropriate. </w:t>
      </w:r>
      <w:r w:rsidR="00F9644D">
        <w:t xml:space="preserve">ClientEarth had sought a mandatory injunction, requiring Shell to </w:t>
      </w:r>
      <w:r w:rsidR="00C935F3">
        <w:t xml:space="preserve">implement a strategy to manage its climate risk, </w:t>
      </w:r>
      <w:r w:rsidR="00A65D6F">
        <w:t xml:space="preserve">which </w:t>
      </w:r>
      <w:r w:rsidR="003D3338">
        <w:t>conflicted with the general principle that injunctions will not be granted w</w:t>
      </w:r>
      <w:r w:rsidR="00D33276">
        <w:t>h</w:t>
      </w:r>
      <w:r w:rsidR="003D3338">
        <w:t xml:space="preserve">ere they </w:t>
      </w:r>
      <w:r w:rsidR="00C935F3">
        <w:t>would require constant supervision by the Court</w:t>
      </w:r>
      <w:r w:rsidR="003D3338">
        <w:t>.</w:t>
      </w:r>
      <w:r w:rsidR="00CD4FD7" w:rsidRPr="001C4185">
        <w:rPr>
          <w:rStyle w:val="FootnoteReference"/>
        </w:rPr>
        <w:footnoteReference w:id="59"/>
      </w:r>
      <w:r w:rsidR="003D3338">
        <w:t xml:space="preserve"> </w:t>
      </w:r>
      <w:bookmarkStart w:id="6" w:name="para58"/>
      <w:r w:rsidR="00E72C16">
        <w:t>T</w:t>
      </w:r>
      <w:r w:rsidR="00CD4FD7" w:rsidRPr="00CD4FD7">
        <w:t xml:space="preserve">he </w:t>
      </w:r>
      <w:r w:rsidR="00E72C16">
        <w:t xml:space="preserve">judge held that the </w:t>
      </w:r>
      <w:r w:rsidR="00CD4FD7" w:rsidRPr="00CD4FD7">
        <w:t xml:space="preserve">declaratory relief sought </w:t>
      </w:r>
      <w:r w:rsidR="00EE43F9">
        <w:t xml:space="preserve">by ClientEarth did </w:t>
      </w:r>
      <w:r w:rsidR="00CD4FD7" w:rsidRPr="00CD4FD7">
        <w:t>not</w:t>
      </w:r>
      <w:r w:rsidR="00E72C16">
        <w:t xml:space="preserve"> </w:t>
      </w:r>
      <w:r w:rsidR="00E558FA">
        <w:t xml:space="preserve">serve a </w:t>
      </w:r>
      <w:r w:rsidR="00CD4FD7" w:rsidRPr="00CD4FD7">
        <w:t>legitimate purpose</w:t>
      </w:r>
      <w:bookmarkEnd w:id="6"/>
      <w:r w:rsidR="00E558FA">
        <w:t>.</w:t>
      </w:r>
      <w:r w:rsidR="00D73433" w:rsidRPr="001C4185">
        <w:rPr>
          <w:rStyle w:val="FootnoteReference"/>
        </w:rPr>
        <w:footnoteReference w:id="60"/>
      </w:r>
      <w:r w:rsidR="00E558FA">
        <w:t xml:space="preserve"> </w:t>
      </w:r>
      <w:r w:rsidR="000120D4">
        <w:t xml:space="preserve">Finally, the judge </w:t>
      </w:r>
      <w:r w:rsidR="00BB0478">
        <w:t>held that the</w:t>
      </w:r>
      <w:r w:rsidR="001356B0">
        <w:t xml:space="preserve"> </w:t>
      </w:r>
      <w:r w:rsidR="00780E61">
        <w:t xml:space="preserve">claim was </w:t>
      </w:r>
      <w:r w:rsidR="00BB0478">
        <w:t xml:space="preserve">not </w:t>
      </w:r>
      <w:r w:rsidR="00780E61">
        <w:t>being brought in good faith</w:t>
      </w:r>
      <w:r w:rsidR="00882B2A">
        <w:t xml:space="preserve">, because ClientEarth’s </w:t>
      </w:r>
      <w:r w:rsidR="00882B2A" w:rsidRPr="00882B2A">
        <w:t xml:space="preserve">primary purpose </w:t>
      </w:r>
      <w:r w:rsidR="00271C38">
        <w:t>in</w:t>
      </w:r>
      <w:r w:rsidR="00882B2A" w:rsidRPr="00882B2A">
        <w:t xml:space="preserve"> bringing the claim </w:t>
      </w:r>
      <w:r w:rsidR="00957ED0">
        <w:t>was not to benefit the company but to</w:t>
      </w:r>
      <w:r w:rsidR="00882B2A" w:rsidRPr="00882B2A">
        <w:t xml:space="preserve"> advanc</w:t>
      </w:r>
      <w:r w:rsidR="00957ED0">
        <w:t>e</w:t>
      </w:r>
      <w:r w:rsidR="00882B2A" w:rsidRPr="00882B2A">
        <w:t xml:space="preserve"> ClientEarth's own policy agenda</w:t>
      </w:r>
      <w:r w:rsidR="00957ED0">
        <w:t>.</w:t>
      </w:r>
      <w:r w:rsidR="00957ED0" w:rsidRPr="001C4185">
        <w:rPr>
          <w:rStyle w:val="FootnoteReference"/>
        </w:rPr>
        <w:footnoteReference w:id="61"/>
      </w:r>
      <w:r w:rsidR="003D37CE">
        <w:t xml:space="preserve"> </w:t>
      </w:r>
      <w:r w:rsidR="00245716">
        <w:t>The judge ordered ClientEarth to pay Shell’s legal costs at the permission stage</w:t>
      </w:r>
      <w:r w:rsidR="00325F5D">
        <w:t xml:space="preserve">. </w:t>
      </w:r>
    </w:p>
    <w:p w14:paraId="16C58A36" w14:textId="2FFB728B" w:rsidR="002702BA" w:rsidRDefault="009C2399" w:rsidP="003D37CE">
      <w:pPr>
        <w:pStyle w:val="MainBody0"/>
      </w:pPr>
      <w:r>
        <w:rPr>
          <w:i/>
          <w:iCs/>
        </w:rPr>
        <w:t>McGaughey v Universities Superannuation</w:t>
      </w:r>
      <w:r w:rsidR="00485275">
        <w:rPr>
          <w:i/>
          <w:iCs/>
        </w:rPr>
        <w:t xml:space="preserve"> Scheme</w:t>
      </w:r>
      <w:r w:rsidR="003D37CE" w:rsidRPr="001C4185">
        <w:rPr>
          <w:rStyle w:val="FootnoteReference"/>
        </w:rPr>
        <w:footnoteReference w:id="62"/>
      </w:r>
      <w:r w:rsidR="00FF39D4" w:rsidRPr="00FF39D4">
        <w:t xml:space="preserve"> </w:t>
      </w:r>
      <w:r w:rsidR="00675F5E">
        <w:t>concerned</w:t>
      </w:r>
      <w:r w:rsidR="004008B5">
        <w:t xml:space="preserve"> a</w:t>
      </w:r>
      <w:r w:rsidR="00FE3B8B">
        <w:t xml:space="preserve"> </w:t>
      </w:r>
      <w:r w:rsidR="00CD1F7F">
        <w:t xml:space="preserve">dispute between </w:t>
      </w:r>
      <w:r w:rsidR="00B6416E">
        <w:t xml:space="preserve">academics and the </w:t>
      </w:r>
      <w:r w:rsidR="0023291D">
        <w:t xml:space="preserve">directors of the corporate </w:t>
      </w:r>
      <w:r w:rsidR="00B6416E" w:rsidRPr="00B6416E">
        <w:t xml:space="preserve">trustee of </w:t>
      </w:r>
      <w:r w:rsidR="003919DA">
        <w:t>their</w:t>
      </w:r>
      <w:r w:rsidR="009A04B2">
        <w:t xml:space="preserve"> </w:t>
      </w:r>
      <w:r w:rsidR="00B6416E" w:rsidRPr="00B6416E">
        <w:t xml:space="preserve">pension </w:t>
      </w:r>
      <w:r w:rsidR="00374037">
        <w:t xml:space="preserve">fund </w:t>
      </w:r>
      <w:r w:rsidR="00B6416E" w:rsidRPr="00B6416E">
        <w:t>scheme.</w:t>
      </w:r>
      <w:r w:rsidR="000A7688">
        <w:t xml:space="preserve"> </w:t>
      </w:r>
      <w:r w:rsidR="003919DA">
        <w:t>T</w:t>
      </w:r>
      <w:r w:rsidR="00521C23">
        <w:t xml:space="preserve">he </w:t>
      </w:r>
      <w:r w:rsidR="003919DA">
        <w:t>relevant</w:t>
      </w:r>
      <w:r w:rsidR="00521C23">
        <w:t xml:space="preserve"> allegation was that the </w:t>
      </w:r>
      <w:r w:rsidR="0023291D">
        <w:t>directors</w:t>
      </w:r>
      <w:r w:rsidR="00521C23" w:rsidRPr="00521C23">
        <w:t xml:space="preserve"> continued to invest in fossil fuels without an immediate plan for divestment contrary to the </w:t>
      </w:r>
      <w:r w:rsidR="00B238DE">
        <w:t>scheme’s</w:t>
      </w:r>
      <w:r w:rsidR="00521C23" w:rsidRPr="00521C23">
        <w:t xml:space="preserve"> long-term interests. </w:t>
      </w:r>
      <w:r w:rsidR="00AE2222">
        <w:t>I</w:t>
      </w:r>
      <w:r w:rsidR="00491744">
        <w:t>t was a</w:t>
      </w:r>
      <w:r w:rsidR="002702BA" w:rsidRPr="002702BA">
        <w:t xml:space="preserve">lleged that this prejudiced the </w:t>
      </w:r>
      <w:r w:rsidR="00491744">
        <w:t xml:space="preserve">financial </w:t>
      </w:r>
      <w:r w:rsidR="002702BA" w:rsidRPr="002702BA">
        <w:t>success of the company</w:t>
      </w:r>
      <w:r w:rsidR="00AE2222">
        <w:t xml:space="preserve"> in breach of the duty in section 172</w:t>
      </w:r>
      <w:r w:rsidR="002702BA">
        <w:t>.</w:t>
      </w:r>
    </w:p>
    <w:p w14:paraId="2E7DDFFB" w14:textId="59A0730C" w:rsidR="00510513" w:rsidRDefault="00176E27" w:rsidP="003D37CE">
      <w:pPr>
        <w:pStyle w:val="MainBody0"/>
      </w:pPr>
      <w:r>
        <w:t>This</w:t>
      </w:r>
      <w:r w:rsidR="00DF4DC1">
        <w:t xml:space="preserve"> was not</w:t>
      </w:r>
      <w:r w:rsidR="0078111B">
        <w:t xml:space="preserve"> a </w:t>
      </w:r>
      <w:r w:rsidR="00B20CE3">
        <w:t xml:space="preserve">normal </w:t>
      </w:r>
      <w:r w:rsidR="0078111B">
        <w:t>derivat</w:t>
      </w:r>
      <w:r w:rsidR="00B20CE3">
        <w:t>ive</w:t>
      </w:r>
      <w:r w:rsidR="0078111B">
        <w:t xml:space="preserve"> action</w:t>
      </w:r>
      <w:r w:rsidR="00DF4DC1">
        <w:t xml:space="preserve"> as the claimants were not </w:t>
      </w:r>
      <w:r w:rsidR="00510513">
        <w:t xml:space="preserve">shareholders </w:t>
      </w:r>
      <w:r w:rsidR="002E74A8">
        <w:t>in the corporate trustee,</w:t>
      </w:r>
      <w:r w:rsidR="00510513">
        <w:t xml:space="preserve"> but instead</w:t>
      </w:r>
      <w:r w:rsidR="00510513" w:rsidRPr="00DA452D">
        <w:t xml:space="preserve"> </w:t>
      </w:r>
      <w:r w:rsidR="002E74A8">
        <w:t xml:space="preserve">were </w:t>
      </w:r>
      <w:r w:rsidR="00510513" w:rsidRPr="00DA452D">
        <w:t xml:space="preserve">members of the pension scheme </w:t>
      </w:r>
      <w:r w:rsidR="002E74A8">
        <w:t>managed by it</w:t>
      </w:r>
      <w:r w:rsidR="006C1FD8">
        <w:t>.</w:t>
      </w:r>
      <w:r w:rsidR="006716A4">
        <w:t xml:space="preserve"> </w:t>
      </w:r>
      <w:r w:rsidR="007A053A">
        <w:t>The</w:t>
      </w:r>
      <w:r w:rsidR="00885C26">
        <w:t xml:space="preserve">y argued that </w:t>
      </w:r>
      <w:r w:rsidR="007A053A">
        <w:t>they could bring a ‘multiple derivative action’</w:t>
      </w:r>
      <w:r w:rsidR="00442F3F">
        <w:t xml:space="preserve">, </w:t>
      </w:r>
      <w:r w:rsidR="0059698F">
        <w:t>on the model of</w:t>
      </w:r>
      <w:r w:rsidR="00D65D84" w:rsidRPr="00D65D84">
        <w:t xml:space="preserve"> </w:t>
      </w:r>
      <w:r w:rsidR="0059698F">
        <w:t xml:space="preserve">that allowed where </w:t>
      </w:r>
      <w:r w:rsidR="00D65D84">
        <w:t xml:space="preserve">shareholders </w:t>
      </w:r>
      <w:r w:rsidR="00D65D84" w:rsidRPr="00D65D84">
        <w:t xml:space="preserve">of </w:t>
      </w:r>
      <w:r w:rsidR="00D65D84">
        <w:t xml:space="preserve">an </w:t>
      </w:r>
      <w:r w:rsidR="00D65D84" w:rsidRPr="00D65D84">
        <w:t xml:space="preserve">ultimate holding company </w:t>
      </w:r>
      <w:r w:rsidR="00F77D8D">
        <w:t xml:space="preserve">of a group </w:t>
      </w:r>
      <w:r w:rsidR="00D65D84" w:rsidRPr="00D65D84">
        <w:t xml:space="preserve">have been permitted to bring proceedings </w:t>
      </w:r>
      <w:r w:rsidR="0041210F">
        <w:t>against</w:t>
      </w:r>
      <w:r w:rsidR="00B4223F">
        <w:t xml:space="preserve"> directors</w:t>
      </w:r>
      <w:r w:rsidR="0041210F">
        <w:t xml:space="preserve"> </w:t>
      </w:r>
      <w:r w:rsidR="00AC0D43">
        <w:t>of a</w:t>
      </w:r>
      <w:r w:rsidR="0041210F">
        <w:t xml:space="preserve"> </w:t>
      </w:r>
      <w:r w:rsidR="00F96C11">
        <w:t xml:space="preserve">subsidiary </w:t>
      </w:r>
      <w:r w:rsidR="00F77D8D">
        <w:t>c</w:t>
      </w:r>
      <w:r w:rsidR="0041210F">
        <w:t xml:space="preserve">ompany </w:t>
      </w:r>
      <w:r w:rsidR="00D65D84" w:rsidRPr="00D65D84">
        <w:t>even though there are intermediate companies holding shares in between</w:t>
      </w:r>
      <w:r w:rsidR="00672D7D">
        <w:t xml:space="preserve"> them</w:t>
      </w:r>
      <w:r w:rsidR="00A8445C">
        <w:t>.</w:t>
      </w:r>
      <w:r w:rsidR="0037689F" w:rsidRPr="001C4185">
        <w:rPr>
          <w:rStyle w:val="FootnoteReference"/>
        </w:rPr>
        <w:footnoteReference w:id="63"/>
      </w:r>
      <w:r w:rsidR="00A8445C">
        <w:t xml:space="preserve"> </w:t>
      </w:r>
      <w:r w:rsidR="005A4CF5">
        <w:t xml:space="preserve">For this sort of claim the </w:t>
      </w:r>
      <w:r w:rsidR="00DF5D61">
        <w:t>claimant</w:t>
      </w:r>
      <w:r w:rsidR="005A4CF5">
        <w:t>s had to sho</w:t>
      </w:r>
      <w:r w:rsidR="00DF5D61">
        <w:t xml:space="preserve">w </w:t>
      </w:r>
      <w:r w:rsidR="000160BF">
        <w:t xml:space="preserve">they </w:t>
      </w:r>
      <w:r w:rsidR="00CF4A62">
        <w:t>ha</w:t>
      </w:r>
      <w:r w:rsidR="005A4CF5">
        <w:t>d</w:t>
      </w:r>
      <w:r w:rsidR="00CF4A62">
        <w:t xml:space="preserve"> </w:t>
      </w:r>
      <w:r w:rsidR="00471B3F">
        <w:t xml:space="preserve">suffered a loss that </w:t>
      </w:r>
      <w:r w:rsidR="00876870">
        <w:t xml:space="preserve">was reflective of the </w:t>
      </w:r>
      <w:r w:rsidR="00F96C11">
        <w:t xml:space="preserve">subsidiary </w:t>
      </w:r>
      <w:r w:rsidR="00876870">
        <w:t>company’s</w:t>
      </w:r>
      <w:r w:rsidR="00CF4A62">
        <w:t xml:space="preserve"> loss</w:t>
      </w:r>
      <w:r w:rsidR="00876870">
        <w:t>.</w:t>
      </w:r>
      <w:r w:rsidR="00876870" w:rsidRPr="001C4185">
        <w:rPr>
          <w:rStyle w:val="FootnoteReference"/>
        </w:rPr>
        <w:footnoteReference w:id="64"/>
      </w:r>
      <w:r w:rsidR="00876870">
        <w:t xml:space="preserve"> </w:t>
      </w:r>
    </w:p>
    <w:p w14:paraId="13F64C89" w14:textId="4C095AAD" w:rsidR="000F6A7F" w:rsidRDefault="00D54318" w:rsidP="003D0E60">
      <w:pPr>
        <w:pStyle w:val="MainBody0"/>
      </w:pPr>
      <w:r>
        <w:t>T</w:t>
      </w:r>
      <w:r w:rsidR="00471B3F">
        <w:t xml:space="preserve">he claim </w:t>
      </w:r>
      <w:r>
        <w:t>was dismissed</w:t>
      </w:r>
      <w:r w:rsidR="00471B3F">
        <w:t xml:space="preserve">. </w:t>
      </w:r>
      <w:r w:rsidR="003D0E60">
        <w:t>T</w:t>
      </w:r>
      <w:r w:rsidR="00A62DE2">
        <w:t xml:space="preserve">he claimants </w:t>
      </w:r>
      <w:r w:rsidR="00A62DE2" w:rsidRPr="00A62DE2">
        <w:t xml:space="preserve">failed to provide sufficient evidence of </w:t>
      </w:r>
      <w:r w:rsidR="00EA073F">
        <w:t xml:space="preserve">a </w:t>
      </w:r>
      <w:r w:rsidR="00A62DE2" w:rsidRPr="00A62DE2">
        <w:t xml:space="preserve">financial detriment suffered by the company </w:t>
      </w:r>
      <w:r w:rsidR="00A62DE2">
        <w:t>or th</w:t>
      </w:r>
      <w:r w:rsidR="009E2557">
        <w:t xml:space="preserve">e claimants themselves </w:t>
      </w:r>
      <w:r w:rsidR="00A62DE2" w:rsidRPr="00A62DE2">
        <w:t xml:space="preserve">as a result of </w:t>
      </w:r>
      <w:r w:rsidR="00A62DE2">
        <w:t>the directors</w:t>
      </w:r>
      <w:r w:rsidR="001F2870">
        <w:t>’</w:t>
      </w:r>
      <w:r w:rsidR="00A62DE2">
        <w:t xml:space="preserve"> decision to continue to invest</w:t>
      </w:r>
      <w:r w:rsidR="004551A5">
        <w:t xml:space="preserve"> in fossil fuels</w:t>
      </w:r>
      <w:r w:rsidR="00A62DE2">
        <w:t xml:space="preserve">. </w:t>
      </w:r>
      <w:r w:rsidR="00A62DE2" w:rsidRPr="00A62DE2">
        <w:rPr>
          <w:rFonts w:ascii="Times New Roman" w:hAnsi="Times New Roman" w:cs="Times New Roman"/>
        </w:rPr>
        <w:t>​</w:t>
      </w:r>
      <w:r w:rsidR="001971E2">
        <w:t xml:space="preserve">The </w:t>
      </w:r>
      <w:r w:rsidR="00F52556">
        <w:t xml:space="preserve">claimants </w:t>
      </w:r>
      <w:r w:rsidR="001971E2">
        <w:t xml:space="preserve">did not </w:t>
      </w:r>
      <w:r w:rsidR="00F52556">
        <w:t xml:space="preserve">challenge the principle </w:t>
      </w:r>
      <w:r w:rsidR="007C5DF0">
        <w:t>laid down in</w:t>
      </w:r>
      <w:r w:rsidR="00F52556">
        <w:t xml:space="preserve"> </w:t>
      </w:r>
      <w:bookmarkStart w:id="7" w:name="para188"/>
      <w:r w:rsidR="00F52556" w:rsidRPr="00F52556">
        <w:rPr>
          <w:i/>
          <w:iCs/>
        </w:rPr>
        <w:t>Cowan v Scargill</w:t>
      </w:r>
      <w:bookmarkEnd w:id="7"/>
      <w:r w:rsidR="0093388B">
        <w:rPr>
          <w:i/>
          <w:iCs/>
        </w:rPr>
        <w:t xml:space="preserve"> </w:t>
      </w:r>
      <w:r w:rsidR="007C5DF0">
        <w:rPr>
          <w:i/>
          <w:iCs/>
        </w:rPr>
        <w:t xml:space="preserve"> </w:t>
      </w:r>
      <w:r w:rsidR="00F52556" w:rsidRPr="00F52556">
        <w:t xml:space="preserve">held that </w:t>
      </w:r>
      <w:r w:rsidR="00E02BB5">
        <w:t xml:space="preserve">a </w:t>
      </w:r>
      <w:r w:rsidR="007C5DF0">
        <w:t xml:space="preserve">fund </w:t>
      </w:r>
      <w:r w:rsidR="00F52556" w:rsidRPr="00F52556">
        <w:t>trustee</w:t>
      </w:r>
      <w:r w:rsidR="007C5DF0">
        <w:t>’</w:t>
      </w:r>
      <w:r w:rsidR="00F52556" w:rsidRPr="00F52556">
        <w:t xml:space="preserve">s duty is </w:t>
      </w:r>
      <w:r w:rsidR="005E70A7">
        <w:t xml:space="preserve">primarily </w:t>
      </w:r>
      <w:r w:rsidR="00F52556" w:rsidRPr="00F52556">
        <w:t xml:space="preserve">to act in the best financial interests of </w:t>
      </w:r>
      <w:r w:rsidR="008B23AD">
        <w:t xml:space="preserve">the fund </w:t>
      </w:r>
      <w:r w:rsidR="00F52556" w:rsidRPr="00F52556">
        <w:t>beneficiaries, rather than making investment decisions based on</w:t>
      </w:r>
      <w:r w:rsidR="0085688E">
        <w:t xml:space="preserve"> </w:t>
      </w:r>
      <w:r w:rsidR="00F52556" w:rsidRPr="00F52556">
        <w:t>ethical considerations</w:t>
      </w:r>
      <w:r w:rsidR="00244B01">
        <w:t>.</w:t>
      </w:r>
      <w:r w:rsidR="009E5E26" w:rsidRPr="001C4185">
        <w:rPr>
          <w:rStyle w:val="FootnoteReference"/>
        </w:rPr>
        <w:footnoteReference w:id="65"/>
      </w:r>
      <w:r w:rsidR="00244B01">
        <w:t xml:space="preserve"> </w:t>
      </w:r>
      <w:r w:rsidR="006F5405">
        <w:t xml:space="preserve">The </w:t>
      </w:r>
      <w:r w:rsidR="00C04E04">
        <w:t xml:space="preserve">claimant’s </w:t>
      </w:r>
      <w:r w:rsidR="006F5405">
        <w:t xml:space="preserve">lack of evidence </w:t>
      </w:r>
      <w:r w:rsidR="00C04E04">
        <w:t xml:space="preserve">of any </w:t>
      </w:r>
      <w:r w:rsidR="00841430">
        <w:t xml:space="preserve">financial </w:t>
      </w:r>
      <w:r w:rsidR="00C04E04">
        <w:t>loss was therefore</w:t>
      </w:r>
      <w:r w:rsidR="00841430">
        <w:t xml:space="preserve"> fatal</w:t>
      </w:r>
      <w:r w:rsidR="00C04E04">
        <w:t>.</w:t>
      </w:r>
      <w:r w:rsidR="003A3236" w:rsidRPr="001C4185">
        <w:rPr>
          <w:rStyle w:val="FootnoteReference"/>
        </w:rPr>
        <w:footnoteReference w:id="66"/>
      </w:r>
      <w:r w:rsidR="00C04E04">
        <w:t xml:space="preserve"> </w:t>
      </w:r>
      <w:r w:rsidR="00C61348">
        <w:t>On appeal</w:t>
      </w:r>
      <w:r w:rsidR="00BE15D1">
        <w:t xml:space="preserve"> the Court of Appeal </w:t>
      </w:r>
      <w:r w:rsidR="00160524">
        <w:t>upheld the judge’s reasoning in all material respects.</w:t>
      </w:r>
      <w:r w:rsidR="00160524" w:rsidRPr="001C4185">
        <w:rPr>
          <w:rStyle w:val="FootnoteReference"/>
        </w:rPr>
        <w:footnoteReference w:id="67"/>
      </w:r>
      <w:r w:rsidR="00160524">
        <w:t xml:space="preserve"> </w:t>
      </w:r>
    </w:p>
    <w:p w14:paraId="74116546" w14:textId="1DE86B34" w:rsidR="0088130C" w:rsidRDefault="00205B3A" w:rsidP="00D02DA9">
      <w:pPr>
        <w:pStyle w:val="Heading1"/>
      </w:pPr>
      <w:r>
        <w:t xml:space="preserve">3. </w:t>
      </w:r>
      <w:r w:rsidR="008C0E8C">
        <w:t xml:space="preserve">Analysis: </w:t>
      </w:r>
      <w:r w:rsidR="00DC05E7">
        <w:t>l</w:t>
      </w:r>
      <w:r w:rsidR="00814A72">
        <w:t xml:space="preserve">essons from </w:t>
      </w:r>
      <w:r w:rsidR="00814A72" w:rsidRPr="00814A72">
        <w:rPr>
          <w:i/>
          <w:iCs/>
        </w:rPr>
        <w:t>ClientEarth</w:t>
      </w:r>
      <w:r w:rsidR="00814A72">
        <w:rPr>
          <w:i/>
          <w:iCs/>
        </w:rPr>
        <w:t xml:space="preserve"> </w:t>
      </w:r>
      <w:r w:rsidR="00CC219A">
        <w:t xml:space="preserve">and </w:t>
      </w:r>
      <w:r w:rsidR="00CC219A">
        <w:rPr>
          <w:i/>
          <w:iCs/>
        </w:rPr>
        <w:t xml:space="preserve">McGaughey </w:t>
      </w:r>
      <w:r w:rsidR="00814A72">
        <w:t xml:space="preserve">for the future </w:t>
      </w:r>
      <w:r w:rsidR="001970AE">
        <w:t>of directors</w:t>
      </w:r>
      <w:r w:rsidR="006A2884">
        <w:t>’</w:t>
      </w:r>
      <w:r w:rsidR="001970AE">
        <w:t xml:space="preserve"> duties and climate change</w:t>
      </w:r>
    </w:p>
    <w:p w14:paraId="7EF92665" w14:textId="1B93C8B0" w:rsidR="00F6123F" w:rsidRPr="00F6123F" w:rsidRDefault="00F6123F" w:rsidP="00F6123F">
      <w:pPr>
        <w:pStyle w:val="MainBody0"/>
      </w:pPr>
      <w:r>
        <w:t xml:space="preserve">What </w:t>
      </w:r>
      <w:r w:rsidR="00DD67F3">
        <w:t xml:space="preserve">do these </w:t>
      </w:r>
      <w:r>
        <w:t xml:space="preserve">cases </w:t>
      </w:r>
      <w:r w:rsidR="00DD67F3">
        <w:t xml:space="preserve">tell us </w:t>
      </w:r>
      <w:r>
        <w:t xml:space="preserve">about the </w:t>
      </w:r>
      <w:r w:rsidR="00BA6963">
        <w:t>interaction</w:t>
      </w:r>
      <w:r>
        <w:t xml:space="preserve"> of directors’ duties and climate change? </w:t>
      </w:r>
    </w:p>
    <w:p w14:paraId="5A92A6A2" w14:textId="06902AFE" w:rsidR="00F3000F" w:rsidRPr="00FB6646" w:rsidRDefault="00FF6F8E" w:rsidP="00F3000F">
      <w:pPr>
        <w:pStyle w:val="MainBody0"/>
        <w:rPr>
          <w:rFonts w:cstheme="minorHAnsi"/>
        </w:rPr>
      </w:pPr>
      <w:r>
        <w:t xml:space="preserve">First, in both </w:t>
      </w:r>
      <w:r w:rsidR="003B10E3" w:rsidRPr="003B10E3">
        <w:t>cases</w:t>
      </w:r>
      <w:r w:rsidR="00FB5CF6">
        <w:rPr>
          <w:i/>
          <w:iCs/>
        </w:rPr>
        <w:t xml:space="preserve"> </w:t>
      </w:r>
      <w:r w:rsidR="002F182E">
        <w:t>the claimants</w:t>
      </w:r>
      <w:r w:rsidR="00AD43A8">
        <w:t xml:space="preserve">’ </w:t>
      </w:r>
      <w:r w:rsidR="007F13AE">
        <w:t xml:space="preserve">were constrained to </w:t>
      </w:r>
      <w:r w:rsidR="00735E1F">
        <w:t xml:space="preserve">focus on the financial implications of </w:t>
      </w:r>
      <w:r w:rsidR="005A4E0E">
        <w:t xml:space="preserve">the </w:t>
      </w:r>
      <w:r w:rsidR="00850218">
        <w:t>directors’ inaction on climate chang</w:t>
      </w:r>
      <w:r w:rsidR="00735E1F">
        <w:t>e</w:t>
      </w:r>
      <w:r w:rsidR="002F182E">
        <w:t>.</w:t>
      </w:r>
      <w:r w:rsidR="00735E1F">
        <w:t xml:space="preserve"> </w:t>
      </w:r>
      <w:r w:rsidR="005C00D1">
        <w:t xml:space="preserve">This is </w:t>
      </w:r>
      <w:r w:rsidR="007F13AE">
        <w:t>because</w:t>
      </w:r>
      <w:r w:rsidR="005C00D1">
        <w:t xml:space="preserve"> shareholder value</w:t>
      </w:r>
      <w:r w:rsidR="007F4B0E">
        <w:t xml:space="preserve">, </w:t>
      </w:r>
      <w:r w:rsidR="00733421">
        <w:t>i</w:t>
      </w:r>
      <w:r w:rsidR="007F4B0E">
        <w:t xml:space="preserve">n financial terms, </w:t>
      </w:r>
      <w:r w:rsidR="00733421">
        <w:t>is</w:t>
      </w:r>
      <w:r w:rsidR="005C00D1">
        <w:t xml:space="preserve"> central </w:t>
      </w:r>
      <w:r w:rsidR="00923DC7">
        <w:t>under</w:t>
      </w:r>
      <w:r w:rsidR="005C00D1">
        <w:t xml:space="preserve"> the</w:t>
      </w:r>
      <w:r w:rsidR="00775056">
        <w:t xml:space="preserve"> Companies</w:t>
      </w:r>
      <w:r w:rsidR="00AD5EEE">
        <w:t xml:space="preserve"> Act</w:t>
      </w:r>
      <w:r w:rsidR="00923DC7">
        <w:t xml:space="preserve"> regime</w:t>
      </w:r>
      <w:r w:rsidR="00D9505C">
        <w:t xml:space="preserve">. </w:t>
      </w:r>
      <w:r w:rsidR="0088398B">
        <w:t>But it is perhaps surprising that t</w:t>
      </w:r>
      <w:r w:rsidR="005C00D1">
        <w:t xml:space="preserve">here </w:t>
      </w:r>
      <w:r w:rsidR="00AC4F22">
        <w:t xml:space="preserve">was no reference </w:t>
      </w:r>
      <w:r w:rsidR="005C00D1">
        <w:t>to</w:t>
      </w:r>
      <w:r w:rsidR="00AC4F22">
        <w:t xml:space="preserve"> the concept of ‘enlightened shareholder value’</w:t>
      </w:r>
      <w:r w:rsidR="00893BDD">
        <w:t xml:space="preserve"> and the duty to have regard to </w:t>
      </w:r>
      <w:r w:rsidR="00C431DB">
        <w:lastRenderedPageBreak/>
        <w:t xml:space="preserve">the </w:t>
      </w:r>
      <w:r w:rsidR="00893BDD">
        <w:t>environment in section</w:t>
      </w:r>
      <w:r w:rsidR="00C431DB">
        <w:t xml:space="preserve"> 172.</w:t>
      </w:r>
      <w:r w:rsidR="00893BDD">
        <w:t xml:space="preserve"> </w:t>
      </w:r>
      <w:r w:rsidR="00C431DB">
        <w:t xml:space="preserve"> Whilst this duty is procedural in nature, the explanatory notes state that </w:t>
      </w:r>
      <w:r w:rsidR="00BF1F09">
        <w:t xml:space="preserve">it cannot be satisfied by “mere lip service” which, in essence, was what ClientEarth was alleging </w:t>
      </w:r>
      <w:r w:rsidR="005B7AE2">
        <w:t xml:space="preserve">was all that </w:t>
      </w:r>
      <w:r w:rsidR="00BF1F09">
        <w:t xml:space="preserve">Shell had </w:t>
      </w:r>
      <w:r w:rsidR="005B7AE2">
        <w:t>given</w:t>
      </w:r>
      <w:r w:rsidR="00F36408">
        <w:t xml:space="preserve"> in its climate action policy</w:t>
      </w:r>
      <w:r w:rsidR="00BF1F09">
        <w:t>.</w:t>
      </w:r>
      <w:r w:rsidR="001A1F03">
        <w:t xml:space="preserve"> Additionally,</w:t>
      </w:r>
      <w:r w:rsidR="00BF1F09">
        <w:t xml:space="preserve"> </w:t>
      </w:r>
      <w:r w:rsidR="001A1F03">
        <w:t>i</w:t>
      </w:r>
      <w:r w:rsidR="00C914DC">
        <w:t>n</w:t>
      </w:r>
      <w:r w:rsidR="00143BCC">
        <w:t xml:space="preserve"> my lecture in</w:t>
      </w:r>
      <w:r w:rsidR="00C914DC">
        <w:t xml:space="preserve"> 2019, I </w:t>
      </w:r>
      <w:r w:rsidR="00150EF8">
        <w:t>argued</w:t>
      </w:r>
      <w:r w:rsidR="008B31F7">
        <w:t xml:space="preserve"> </w:t>
      </w:r>
      <w:r w:rsidR="00C914DC">
        <w:rPr>
          <w:rFonts w:cstheme="minorHAnsi"/>
        </w:rPr>
        <w:t xml:space="preserve">that Parliament’s express </w:t>
      </w:r>
      <w:r w:rsidR="00DE06B6">
        <w:rPr>
          <w:rFonts w:cstheme="minorHAnsi"/>
        </w:rPr>
        <w:t>endorsement of an</w:t>
      </w:r>
      <w:r w:rsidR="00850C71">
        <w:rPr>
          <w:rFonts w:cstheme="minorHAnsi"/>
        </w:rPr>
        <w:t xml:space="preserve"> ‘enlightened shareholder value’</w:t>
      </w:r>
      <w:r w:rsidR="00DE06B6">
        <w:rPr>
          <w:rFonts w:cstheme="minorHAnsi"/>
        </w:rPr>
        <w:t xml:space="preserve"> approach</w:t>
      </w:r>
      <w:r w:rsidR="00C914DC">
        <w:rPr>
          <w:rFonts w:cstheme="minorHAnsi"/>
        </w:rPr>
        <w:t xml:space="preserve"> cast</w:t>
      </w:r>
      <w:r w:rsidR="001A3550">
        <w:rPr>
          <w:rFonts w:cstheme="minorHAnsi"/>
        </w:rPr>
        <w:t>ed</w:t>
      </w:r>
      <w:r w:rsidR="00C914DC">
        <w:rPr>
          <w:rFonts w:cstheme="minorHAnsi"/>
        </w:rPr>
        <w:t xml:space="preserve"> a shadow o</w:t>
      </w:r>
      <w:r w:rsidR="001E27B3">
        <w:rPr>
          <w:rFonts w:cstheme="minorHAnsi"/>
        </w:rPr>
        <w:t>ver</w:t>
      </w:r>
      <w:r w:rsidR="00C914DC">
        <w:rPr>
          <w:rFonts w:cstheme="minorHAnsi"/>
        </w:rPr>
        <w:t xml:space="preserve"> the </w:t>
      </w:r>
      <w:r w:rsidR="00C914DC">
        <w:rPr>
          <w:rFonts w:cstheme="minorHAnsi"/>
          <w:i/>
        </w:rPr>
        <w:t xml:space="preserve">Cowan v Scargill </w:t>
      </w:r>
      <w:r w:rsidR="00C914DC">
        <w:rPr>
          <w:rFonts w:cstheme="minorHAnsi"/>
        </w:rPr>
        <w:t>approach.</w:t>
      </w:r>
      <w:r w:rsidR="00FB6646">
        <w:rPr>
          <w:rFonts w:cstheme="minorHAnsi"/>
        </w:rPr>
        <w:t xml:space="preserve"> </w:t>
      </w:r>
      <w:r w:rsidR="00965112">
        <w:rPr>
          <w:rFonts w:cstheme="minorHAnsi"/>
        </w:rPr>
        <w:t>Further, t</w:t>
      </w:r>
      <w:r w:rsidR="00B91C92">
        <w:rPr>
          <w:rFonts w:cstheme="minorHAnsi"/>
        </w:rPr>
        <w:t>h</w:t>
      </w:r>
      <w:r w:rsidR="00D87E13">
        <w:rPr>
          <w:rFonts w:cstheme="minorHAnsi"/>
        </w:rPr>
        <w:t xml:space="preserve">e rise of ESG-investing places pressure on the idea that investors are concerned solely with financial returns. </w:t>
      </w:r>
      <w:r w:rsidR="001C7F78">
        <w:rPr>
          <w:rFonts w:cstheme="minorHAnsi"/>
        </w:rPr>
        <w:t>But as the</w:t>
      </w:r>
      <w:r w:rsidR="00FB6646">
        <w:rPr>
          <w:rFonts w:cstheme="minorHAnsi"/>
        </w:rPr>
        <w:t xml:space="preserve">re was no challenge to </w:t>
      </w:r>
      <w:r w:rsidR="00FB6646">
        <w:rPr>
          <w:rFonts w:cstheme="minorHAnsi"/>
          <w:i/>
          <w:iCs/>
        </w:rPr>
        <w:t>Cowan v Scargill</w:t>
      </w:r>
      <w:r w:rsidR="00FB6646">
        <w:rPr>
          <w:rFonts w:cstheme="minorHAnsi"/>
        </w:rPr>
        <w:t xml:space="preserve"> </w:t>
      </w:r>
      <w:r w:rsidR="001C7F78">
        <w:rPr>
          <w:rFonts w:cstheme="minorHAnsi"/>
        </w:rPr>
        <w:t>these points remain to be explored</w:t>
      </w:r>
      <w:r w:rsidR="00D44D53">
        <w:rPr>
          <w:rFonts w:cstheme="minorHAnsi"/>
        </w:rPr>
        <w:t xml:space="preserve">. </w:t>
      </w:r>
    </w:p>
    <w:p w14:paraId="6CFF8E3F" w14:textId="74621B98" w:rsidR="00595F35" w:rsidRDefault="00595F35" w:rsidP="00AC4F22">
      <w:pPr>
        <w:pStyle w:val="MainBody0"/>
      </w:pPr>
      <w:r>
        <w:t xml:space="preserve">Second, </w:t>
      </w:r>
      <w:r w:rsidR="00E010D0">
        <w:t>in both cases</w:t>
      </w:r>
      <w:r>
        <w:t xml:space="preserve"> the claimants’ lack of evidence was fatal. This absence</w:t>
      </w:r>
      <w:r w:rsidR="0053336C">
        <w:t xml:space="preserve"> of evidence</w:t>
      </w:r>
      <w:r>
        <w:t xml:space="preserve"> is somewhat surprising</w:t>
      </w:r>
      <w:r w:rsidR="00311806">
        <w:t xml:space="preserve">, </w:t>
      </w:r>
      <w:r>
        <w:t xml:space="preserve">given that there </w:t>
      </w:r>
      <w:r w:rsidR="00D94378">
        <w:t xml:space="preserve">would seem to be plenty of </w:t>
      </w:r>
      <w:r>
        <w:t xml:space="preserve">experts </w:t>
      </w:r>
      <w:r w:rsidR="00D94378">
        <w:t>who could give</w:t>
      </w:r>
      <w:r w:rsidR="00C371EB">
        <w:t xml:space="preserve"> evidence</w:t>
      </w:r>
      <w:r>
        <w:t xml:space="preserve">. </w:t>
      </w:r>
      <w:r w:rsidR="004B6FF2">
        <w:t>P</w:t>
      </w:r>
      <w:r>
        <w:t xml:space="preserve">erhaps </w:t>
      </w:r>
      <w:r w:rsidR="004B6FF2">
        <w:t xml:space="preserve">it was too expensive to </w:t>
      </w:r>
      <w:r w:rsidR="00C85E13">
        <w:t>obtain such evidence</w:t>
      </w:r>
      <w:r>
        <w:t>. However, t</w:t>
      </w:r>
      <w:r w:rsidRPr="00F64169">
        <w:t>h</w:t>
      </w:r>
      <w:r w:rsidR="00EB1836">
        <w:t>is</w:t>
      </w:r>
      <w:r w:rsidRPr="00F64169">
        <w:t xml:space="preserve"> leaves open the possibility that, i</w:t>
      </w:r>
      <w:r w:rsidR="00EB1836">
        <w:t>f</w:t>
      </w:r>
      <w:r w:rsidRPr="00F64169">
        <w:t xml:space="preserve"> claimants can provide stronger factual evidence of financial harm,</w:t>
      </w:r>
      <w:r w:rsidR="00F560AC">
        <w:t xml:space="preserve"> </w:t>
      </w:r>
      <w:r w:rsidRPr="00F64169">
        <w:t xml:space="preserve">a claim may be more likely to succeed. </w:t>
      </w:r>
      <w:r w:rsidR="005363F3">
        <w:t xml:space="preserve">However, </w:t>
      </w:r>
      <w:r w:rsidR="001732C9">
        <w:t xml:space="preserve">given the </w:t>
      </w:r>
      <w:r w:rsidR="005363F3">
        <w:t>debate</w:t>
      </w:r>
      <w:r w:rsidR="002F7CFA">
        <w:t xml:space="preserve"> regarding how to combat </w:t>
      </w:r>
      <w:r w:rsidR="001732C9">
        <w:t xml:space="preserve">and adjust to </w:t>
      </w:r>
      <w:r w:rsidR="002F7CFA">
        <w:t xml:space="preserve">climate change </w:t>
      </w:r>
      <w:r w:rsidR="001732C9">
        <w:t>i</w:t>
      </w:r>
      <w:r w:rsidR="00296151">
        <w:t xml:space="preserve">t is </w:t>
      </w:r>
      <w:r w:rsidR="001732C9">
        <w:t xml:space="preserve">likely that </w:t>
      </w:r>
      <w:r w:rsidR="00B95FFA">
        <w:t xml:space="preserve">opposing expert evidence would be called as well. A court </w:t>
      </w:r>
      <w:r w:rsidR="002D033F">
        <w:t xml:space="preserve">may have difficulty in adjudicating such a dispute, and the nature of the directors’ duties would make it difficult for a claimant to show </w:t>
      </w:r>
      <w:r w:rsidR="009B15BD">
        <w:t xml:space="preserve">a breach. But it is possible that with better quality evidence </w:t>
      </w:r>
      <w:r w:rsidR="0017223A">
        <w:t>a claimant could get over the permission stage for these sorts of claims</w:t>
      </w:r>
      <w:r w:rsidR="00FB1DC9">
        <w:t>.</w:t>
      </w:r>
    </w:p>
    <w:p w14:paraId="35CA64AF" w14:textId="4F3094CD" w:rsidR="0050328F" w:rsidRDefault="00236CEC" w:rsidP="00AC4F22">
      <w:pPr>
        <w:pStyle w:val="MainBody0"/>
      </w:pPr>
      <w:r>
        <w:t xml:space="preserve">Third, </w:t>
      </w:r>
      <w:r w:rsidR="00966996" w:rsidRPr="00966996">
        <w:t xml:space="preserve">the subjective </w:t>
      </w:r>
      <w:r w:rsidR="004857B1">
        <w:t>nature of the duty</w:t>
      </w:r>
      <w:r w:rsidR="00966996" w:rsidRPr="00966996">
        <w:t xml:space="preserve"> under section 172</w:t>
      </w:r>
      <w:r w:rsidR="008811BC">
        <w:t xml:space="preserve"> was critical to the outcome</w:t>
      </w:r>
      <w:r w:rsidR="00D87D29">
        <w:t xml:space="preserve"> </w:t>
      </w:r>
      <w:r w:rsidR="00EE615F">
        <w:t>in</w:t>
      </w:r>
      <w:r w:rsidR="00D87D29">
        <w:t xml:space="preserve"> both cases</w:t>
      </w:r>
      <w:r w:rsidR="00966996" w:rsidRPr="00966996">
        <w:t>.</w:t>
      </w:r>
      <w:r w:rsidR="008811BC">
        <w:t xml:space="preserve"> </w:t>
      </w:r>
      <w:r w:rsidR="003D5AA1">
        <w:t xml:space="preserve">The directors </w:t>
      </w:r>
      <w:r w:rsidR="002C093C">
        <w:t>had given consideration to climate risk and</w:t>
      </w:r>
      <w:r w:rsidR="007B2D38">
        <w:t xml:space="preserve"> </w:t>
      </w:r>
      <w:r w:rsidR="00E0679A">
        <w:t>t</w:t>
      </w:r>
      <w:r w:rsidR="002C093C">
        <w:t xml:space="preserve">he </w:t>
      </w:r>
      <w:r w:rsidR="005948C3">
        <w:t xml:space="preserve">subjective </w:t>
      </w:r>
      <w:r w:rsidR="007B2D38">
        <w:t xml:space="preserve">nature of the duty </w:t>
      </w:r>
      <w:r w:rsidR="005948C3">
        <w:t xml:space="preserve">meant that the </w:t>
      </w:r>
      <w:r w:rsidR="002C093C">
        <w:t>claimants faced a</w:t>
      </w:r>
      <w:r w:rsidR="00827380">
        <w:t xml:space="preserve"> very difficult </w:t>
      </w:r>
      <w:r w:rsidR="002C093C">
        <w:t>task</w:t>
      </w:r>
      <w:r w:rsidR="000719E0">
        <w:t>.</w:t>
      </w:r>
      <w:r w:rsidR="002C093C">
        <w:t xml:space="preserve"> </w:t>
      </w:r>
      <w:r w:rsidR="00DE77A0">
        <w:t>A claimant would be in a stronger position if directors have</w:t>
      </w:r>
      <w:r w:rsidR="00D3008D">
        <w:t xml:space="preserve"> not considered climate risk at al</w:t>
      </w:r>
      <w:r w:rsidR="0050328F">
        <w:t>l</w:t>
      </w:r>
      <w:r w:rsidR="00C71B6B">
        <w:t xml:space="preserve">. </w:t>
      </w:r>
      <w:r w:rsidR="006038C7">
        <w:t xml:space="preserve">That is going to be unlikely. </w:t>
      </w:r>
      <w:r w:rsidR="00696F03">
        <w:t xml:space="preserve">Perhaps, however, it might be shown that </w:t>
      </w:r>
      <w:r w:rsidR="00447AB5" w:rsidRPr="00447AB5">
        <w:t>fail</w:t>
      </w:r>
      <w:r w:rsidR="0006475D">
        <w:t>ed</w:t>
      </w:r>
      <w:r w:rsidR="00447AB5" w:rsidRPr="00447AB5">
        <w:t xml:space="preserve"> to consider specific climate risks, such as threats to particular assets </w:t>
      </w:r>
      <w:r w:rsidR="00126B24">
        <w:t>from</w:t>
      </w:r>
      <w:r w:rsidR="00447AB5" w:rsidRPr="00447AB5">
        <w:t xml:space="preserve"> the growing frequency of extreme weather events.</w:t>
      </w:r>
      <w:r w:rsidR="007B0DDE" w:rsidRPr="007B0DDE">
        <w:t xml:space="preserve"> </w:t>
      </w:r>
      <w:r w:rsidR="009B52F1">
        <w:t>Given the increasing</w:t>
      </w:r>
      <w:r w:rsidR="005F4BAC">
        <w:t xml:space="preserve">ly widespread nature of </w:t>
      </w:r>
      <w:r w:rsidR="009B52F1">
        <w:t>climate change</w:t>
      </w:r>
      <w:r w:rsidR="005F4BAC">
        <w:t xml:space="preserve"> impacts</w:t>
      </w:r>
      <w:r w:rsidR="009B52F1">
        <w:t xml:space="preserve">, </w:t>
      </w:r>
      <w:r w:rsidR="005F4BAC">
        <w:t>it</w:t>
      </w:r>
      <w:r w:rsidR="002131F9">
        <w:t xml:space="preserve"> may </w:t>
      </w:r>
      <w:r w:rsidR="00302633">
        <w:t>become</w:t>
      </w:r>
      <w:r w:rsidR="005F4BAC">
        <w:t xml:space="preserve"> more difficult for directors </w:t>
      </w:r>
      <w:r w:rsidR="00486A70">
        <w:t xml:space="preserve">to </w:t>
      </w:r>
      <w:r w:rsidR="00460424">
        <w:t>monitor</w:t>
      </w:r>
      <w:r w:rsidR="00194EB0">
        <w:t xml:space="preserve"> and consider</w:t>
      </w:r>
      <w:r w:rsidR="00460424">
        <w:t xml:space="preserve"> </w:t>
      </w:r>
      <w:r w:rsidR="00486A70">
        <w:t>them</w:t>
      </w:r>
      <w:r w:rsidR="00D63D4A">
        <w:t>.</w:t>
      </w:r>
    </w:p>
    <w:p w14:paraId="1EA9EB19" w14:textId="77777777" w:rsidR="00E0604D" w:rsidRDefault="002C093C" w:rsidP="00A81710">
      <w:pPr>
        <w:pStyle w:val="MainBody0"/>
      </w:pPr>
      <w:r>
        <w:t xml:space="preserve">Fourth, </w:t>
      </w:r>
      <w:r w:rsidR="00E0679A">
        <w:t xml:space="preserve">the judgment in </w:t>
      </w:r>
      <w:r w:rsidR="00E0679A">
        <w:rPr>
          <w:i/>
          <w:iCs/>
        </w:rPr>
        <w:t>ClientEarth</w:t>
      </w:r>
      <w:r w:rsidR="00E0679A">
        <w:t xml:space="preserve"> reaffirms </w:t>
      </w:r>
      <w:r w:rsidR="000238B6">
        <w:t xml:space="preserve">that </w:t>
      </w:r>
      <w:r w:rsidR="00D33A0C">
        <w:t>when a director</w:t>
      </w:r>
      <w:r w:rsidR="00FF6DBC">
        <w:t>’</w:t>
      </w:r>
      <w:r w:rsidR="00D33A0C">
        <w:t xml:space="preserve">s </w:t>
      </w:r>
      <w:r w:rsidR="002604AB">
        <w:t>care and skill</w:t>
      </w:r>
      <w:r w:rsidR="00D33A0C">
        <w:t xml:space="preserve"> is challenged </w:t>
      </w:r>
      <w:r w:rsidR="000238B6">
        <w:t>under section 174</w:t>
      </w:r>
      <w:r w:rsidR="00E960FD">
        <w:t xml:space="preserve">, </w:t>
      </w:r>
      <w:r w:rsidR="000238B6">
        <w:t xml:space="preserve">the test is whether </w:t>
      </w:r>
      <w:r w:rsidR="00306ED6" w:rsidRPr="000E1654">
        <w:t xml:space="preserve">the decision falls outside the range of decisions reasonably available to </w:t>
      </w:r>
      <w:r w:rsidR="00306ED6">
        <w:t>a</w:t>
      </w:r>
      <w:r w:rsidR="00306ED6" w:rsidRPr="000E1654">
        <w:t xml:space="preserve"> </w:t>
      </w:r>
      <w:r w:rsidR="00306ED6">
        <w:t>d</w:t>
      </w:r>
      <w:r w:rsidR="00306ED6" w:rsidRPr="000E1654">
        <w:t>irector</w:t>
      </w:r>
      <w:r w:rsidR="00306ED6">
        <w:t xml:space="preserve"> in their position.</w:t>
      </w:r>
      <w:r w:rsidR="00922101">
        <w:t xml:space="preserve"> </w:t>
      </w:r>
      <w:r w:rsidR="00731FC8">
        <w:t>T</w:t>
      </w:r>
      <w:r w:rsidR="00922101">
        <w:t>he judge</w:t>
      </w:r>
      <w:r w:rsidR="00173439">
        <w:rPr>
          <w:i/>
          <w:iCs/>
        </w:rPr>
        <w:t xml:space="preserve"> </w:t>
      </w:r>
      <w:r w:rsidR="00922101">
        <w:t>did not</w:t>
      </w:r>
      <w:r w:rsidR="00173439">
        <w:t xml:space="preserve"> </w:t>
      </w:r>
      <w:r w:rsidR="00917439">
        <w:t>have</w:t>
      </w:r>
      <w:r w:rsidR="00B567FC">
        <w:t xml:space="preserve"> to</w:t>
      </w:r>
      <w:r w:rsidR="00917439">
        <w:t xml:space="preserve"> </w:t>
      </w:r>
      <w:r w:rsidR="00173439">
        <w:t>consider this</w:t>
      </w:r>
      <w:r w:rsidR="00B567FC">
        <w:t xml:space="preserve"> </w:t>
      </w:r>
      <w:r w:rsidR="00173439">
        <w:t>in detail</w:t>
      </w:r>
      <w:r w:rsidR="001358DD">
        <w:t xml:space="preserve"> as </w:t>
      </w:r>
      <w:r w:rsidR="0010430B">
        <w:t>the</w:t>
      </w:r>
      <w:r w:rsidR="00B567FC">
        <w:t xml:space="preserve"> </w:t>
      </w:r>
      <w:r w:rsidR="003F6B3A">
        <w:t>claimants</w:t>
      </w:r>
      <w:r w:rsidR="00A06B7D">
        <w:t xml:space="preserve"> had</w:t>
      </w:r>
      <w:r w:rsidR="003F6B3A">
        <w:t xml:space="preserve"> </w:t>
      </w:r>
      <w:r w:rsidR="00173439">
        <w:t xml:space="preserve">failed to </w:t>
      </w:r>
      <w:r w:rsidR="006C5D4B">
        <w:t>identify</w:t>
      </w:r>
      <w:r w:rsidR="003F6B3A" w:rsidRPr="003F6B3A">
        <w:t xml:space="preserve"> </w:t>
      </w:r>
      <w:r w:rsidR="000E250A">
        <w:t>how the</w:t>
      </w:r>
      <w:r w:rsidR="006C5D4B">
        <w:t>y</w:t>
      </w:r>
      <w:r w:rsidR="003F6B3A" w:rsidRPr="003F6B3A">
        <w:t xml:space="preserve"> said </w:t>
      </w:r>
      <w:r w:rsidR="006C5D4B">
        <w:t xml:space="preserve">the directors </w:t>
      </w:r>
      <w:r w:rsidR="0026314C">
        <w:t xml:space="preserve">had gone </w:t>
      </w:r>
      <w:r w:rsidR="003F6B3A" w:rsidRPr="003F6B3A">
        <w:t xml:space="preserve">wrong in balancing </w:t>
      </w:r>
      <w:r w:rsidR="0026314C">
        <w:t>different factors</w:t>
      </w:r>
      <w:r w:rsidR="00173439">
        <w:t xml:space="preserve">. </w:t>
      </w:r>
      <w:r w:rsidR="009577A4">
        <w:t xml:space="preserve">The test under section 174 is similar to that of </w:t>
      </w:r>
      <w:r w:rsidR="009923EA">
        <w:rPr>
          <w:i/>
          <w:iCs/>
        </w:rPr>
        <w:t>Wednesbury</w:t>
      </w:r>
      <w:r w:rsidR="009577A4">
        <w:rPr>
          <w:i/>
          <w:iCs/>
        </w:rPr>
        <w:t xml:space="preserve"> </w:t>
      </w:r>
      <w:r w:rsidR="009577A4" w:rsidRPr="005F6E7F">
        <w:t>reasonableness</w:t>
      </w:r>
      <w:r w:rsidR="009577A4">
        <w:rPr>
          <w:i/>
          <w:iCs/>
        </w:rPr>
        <w:t xml:space="preserve"> </w:t>
      </w:r>
      <w:r w:rsidR="009577A4">
        <w:t>in public law</w:t>
      </w:r>
      <w:r w:rsidR="00390E32">
        <w:t>.</w:t>
      </w:r>
      <w:r w:rsidR="00D778E5">
        <w:rPr>
          <w:rStyle w:val="FootnoteReference"/>
        </w:rPr>
        <w:footnoteReference w:id="68"/>
      </w:r>
      <w:r w:rsidR="009577A4">
        <w:t xml:space="preserve"> The case law in this area shows that this </w:t>
      </w:r>
      <w:r w:rsidR="00346717">
        <w:t>is</w:t>
      </w:r>
      <w:r w:rsidR="00F630CC">
        <w:t xml:space="preserve"> a high hurdle </w:t>
      </w:r>
      <w:r w:rsidR="0036450A">
        <w:t xml:space="preserve">for a claimant </w:t>
      </w:r>
      <w:r w:rsidR="00346717">
        <w:t>to</w:t>
      </w:r>
      <w:r w:rsidR="00EA0621">
        <w:t xml:space="preserve"> meet</w:t>
      </w:r>
      <w:r w:rsidR="00346717">
        <w:t>, but it is no</w:t>
      </w:r>
      <w:r w:rsidR="00390E32">
        <w:t>t</w:t>
      </w:r>
      <w:r w:rsidR="00346717">
        <w:t xml:space="preserve"> impossible</w:t>
      </w:r>
      <w:r w:rsidR="00622CEE">
        <w:t xml:space="preserve"> and there are </w:t>
      </w:r>
      <w:r w:rsidR="007852D6">
        <w:t xml:space="preserve">public law </w:t>
      </w:r>
      <w:r w:rsidR="00622CEE">
        <w:t xml:space="preserve">cases </w:t>
      </w:r>
      <w:r w:rsidR="007852D6">
        <w:t>concerning</w:t>
      </w:r>
      <w:r w:rsidR="00A81710">
        <w:t xml:space="preserve"> climate</w:t>
      </w:r>
      <w:r w:rsidR="00893709">
        <w:t xml:space="preserve"> change</w:t>
      </w:r>
      <w:r w:rsidR="007852D6">
        <w:t xml:space="preserve"> where decisions have been found to be unreasonable</w:t>
      </w:r>
      <w:r w:rsidR="00A81710">
        <w:t xml:space="preserve">. </w:t>
      </w:r>
    </w:p>
    <w:p w14:paraId="3D7CDAC6" w14:textId="77777777" w:rsidR="00E0604D" w:rsidRDefault="0056292B" w:rsidP="00A81710">
      <w:pPr>
        <w:pStyle w:val="MainBody0"/>
      </w:pPr>
      <w:r>
        <w:t>In 2024</w:t>
      </w:r>
      <w:r w:rsidR="00A81710">
        <w:t xml:space="preserve"> the High Court found that </w:t>
      </w:r>
      <w:r w:rsidR="00FF0D04">
        <w:t xml:space="preserve">the Secretary of State had acted irrationally </w:t>
      </w:r>
      <w:r w:rsidR="00A81710">
        <w:t xml:space="preserve">when adopting the </w:t>
      </w:r>
      <w:r w:rsidR="00066F5B">
        <w:t>Government’s carbon budget required under the Climate Act 2008 as part of the st</w:t>
      </w:r>
      <w:r>
        <w:t>rategy</w:t>
      </w:r>
      <w:r w:rsidR="00066F5B">
        <w:t xml:space="preserve"> </w:t>
      </w:r>
      <w:r w:rsidR="00066F5B" w:rsidRPr="00066F5B">
        <w:t>to achieve net zero greenhouse gas emissions by 2050.</w:t>
      </w:r>
      <w:r w:rsidR="00066F5B" w:rsidRPr="001C4185">
        <w:rPr>
          <w:rStyle w:val="FootnoteReference"/>
        </w:rPr>
        <w:footnoteReference w:id="69"/>
      </w:r>
      <w:r w:rsidR="00066F5B" w:rsidRPr="00066F5B">
        <w:t xml:space="preserve"> </w:t>
      </w:r>
      <w:r w:rsidR="00DE7B26">
        <w:t>T</w:t>
      </w:r>
      <w:r w:rsidR="00446945">
        <w:t xml:space="preserve">here </w:t>
      </w:r>
      <w:r w:rsidR="0048400C" w:rsidRPr="0048400C">
        <w:t xml:space="preserve">was an unexplained evidential gap </w:t>
      </w:r>
      <w:r w:rsidR="00B63E5D">
        <w:t xml:space="preserve">which </w:t>
      </w:r>
      <w:r w:rsidR="0048400C" w:rsidRPr="0048400C">
        <w:t>fail</w:t>
      </w:r>
      <w:r w:rsidR="00446945">
        <w:t>ed</w:t>
      </w:r>
      <w:r w:rsidR="0048400C" w:rsidRPr="0048400C">
        <w:t xml:space="preserve"> to justify </w:t>
      </w:r>
      <w:r w:rsidR="003975E9">
        <w:t xml:space="preserve">the Secretary of State’s </w:t>
      </w:r>
      <w:r w:rsidR="0048400C" w:rsidRPr="0048400C">
        <w:t>conclusion</w:t>
      </w:r>
      <w:r w:rsidR="00446945">
        <w:t>.</w:t>
      </w:r>
      <w:r w:rsidR="00066F5B" w:rsidRPr="001C4185">
        <w:rPr>
          <w:rStyle w:val="FootnoteReference"/>
        </w:rPr>
        <w:footnoteReference w:id="70"/>
      </w:r>
      <w:r w:rsidR="0048400C" w:rsidRPr="0048400C">
        <w:t xml:space="preserve"> </w:t>
      </w:r>
    </w:p>
    <w:p w14:paraId="55FA0D1F" w14:textId="0AF6561E" w:rsidR="00DE4C02" w:rsidRDefault="006F1F51" w:rsidP="00A81710">
      <w:pPr>
        <w:pStyle w:val="MainBody0"/>
      </w:pPr>
      <w:r>
        <w:t xml:space="preserve">In the </w:t>
      </w:r>
      <w:r w:rsidR="00E12598">
        <w:t xml:space="preserve">judgment of the </w:t>
      </w:r>
      <w:r w:rsidR="005A21DA">
        <w:t xml:space="preserve">Grand Chamber of the </w:t>
      </w:r>
      <w:r w:rsidR="00E12598">
        <w:t>European Court of Human Rights</w:t>
      </w:r>
      <w:r w:rsidR="00BB3708">
        <w:t xml:space="preserve"> of </w:t>
      </w:r>
      <w:r w:rsidR="00E0604D">
        <w:t xml:space="preserve">9 April 2024 </w:t>
      </w:r>
      <w:r w:rsidR="00E12598">
        <w:t xml:space="preserve">in </w:t>
      </w:r>
      <w:r w:rsidR="005A21DA">
        <w:rPr>
          <w:i/>
          <w:iCs/>
        </w:rPr>
        <w:t xml:space="preserve">Verein </w:t>
      </w:r>
      <w:r w:rsidR="00034CB0">
        <w:rPr>
          <w:i/>
          <w:iCs/>
        </w:rPr>
        <w:t>KlimaSeniorinnen Schweiz v Swi</w:t>
      </w:r>
      <w:r w:rsidR="00780677">
        <w:rPr>
          <w:i/>
          <w:iCs/>
        </w:rPr>
        <w:t>t</w:t>
      </w:r>
      <w:r w:rsidR="00034CB0">
        <w:rPr>
          <w:i/>
          <w:iCs/>
        </w:rPr>
        <w:t>zerland</w:t>
      </w:r>
      <w:r w:rsidR="00497854">
        <w:rPr>
          <w:rStyle w:val="FootnoteReference"/>
          <w:i/>
          <w:iCs/>
        </w:rPr>
        <w:footnoteReference w:id="71"/>
      </w:r>
      <w:r w:rsidR="00034CB0">
        <w:rPr>
          <w:i/>
          <w:iCs/>
        </w:rPr>
        <w:t xml:space="preserve"> </w:t>
      </w:r>
      <w:r w:rsidR="00A03A89">
        <w:t>the court found a violation of human rights protections by the Swiss government</w:t>
      </w:r>
      <w:r w:rsidR="00AD703D">
        <w:t xml:space="preserve"> in relation to impacts on the health of the </w:t>
      </w:r>
      <w:r w:rsidR="00AD703D">
        <w:lastRenderedPageBreak/>
        <w:t>population from climate change</w:t>
      </w:r>
      <w:r w:rsidR="00C20687">
        <w:t xml:space="preserve">. That finding </w:t>
      </w:r>
      <w:r w:rsidR="002A133E">
        <w:t>followed from the facts that</w:t>
      </w:r>
      <w:r w:rsidR="005C080A">
        <w:t xml:space="preserve"> Switzerland had adopted the Paris Agreement </w:t>
      </w:r>
      <w:r w:rsidR="00AF119D">
        <w:t>target but had in place no</w:t>
      </w:r>
      <w:r w:rsidR="00E12598">
        <w:t xml:space="preserve"> </w:t>
      </w:r>
      <w:r w:rsidR="00AF119D">
        <w:t xml:space="preserve">credible strategy about how to achieve it. </w:t>
      </w:r>
    </w:p>
    <w:p w14:paraId="5B9FEA29" w14:textId="77777777" w:rsidR="00351A7E" w:rsidRDefault="00E6492D" w:rsidP="00A81710">
      <w:pPr>
        <w:pStyle w:val="MainBody0"/>
      </w:pPr>
      <w:r>
        <w:t xml:space="preserve">This </w:t>
      </w:r>
      <w:r w:rsidR="005D0442">
        <w:t>sort of reasoning</w:t>
      </w:r>
      <w:r w:rsidR="00DE4C02">
        <w:t xml:space="preserve">, based on absence of evidence or gaps in strategic planning to meet </w:t>
      </w:r>
      <w:r w:rsidR="004A4456">
        <w:t>defined objectives,</w:t>
      </w:r>
      <w:r w:rsidR="005D0442">
        <w:t xml:space="preserve"> may provide a model which can be used in the company law context.</w:t>
      </w:r>
      <w:r w:rsidR="006C6CB6">
        <w:t xml:space="preserve"> </w:t>
      </w:r>
      <w:r w:rsidR="00D636E0">
        <w:t xml:space="preserve">Nonetheless, </w:t>
      </w:r>
      <w:r w:rsidR="006C6CB6">
        <w:t>t</w:t>
      </w:r>
      <w:r w:rsidR="00A30463">
        <w:t xml:space="preserve">he </w:t>
      </w:r>
      <w:r w:rsidR="00D636E0">
        <w:t xml:space="preserve">extent of </w:t>
      </w:r>
      <w:r w:rsidR="00A30463">
        <w:t xml:space="preserve">disagreement </w:t>
      </w:r>
      <w:r w:rsidR="00F24CB3">
        <w:t xml:space="preserve">as to how companies should respond to climate change </w:t>
      </w:r>
      <w:r w:rsidR="00D636E0">
        <w:t xml:space="preserve">will inevitably tend to </w:t>
      </w:r>
      <w:r w:rsidR="00F24CB3">
        <w:t xml:space="preserve">broaden the </w:t>
      </w:r>
      <w:r w:rsidR="00D636E0">
        <w:t>ambit</w:t>
      </w:r>
      <w:r w:rsidR="00F24CB3">
        <w:t xml:space="preserve"> of decisions </w:t>
      </w:r>
      <w:r w:rsidR="00D636E0">
        <w:t xml:space="preserve">reasonably </w:t>
      </w:r>
      <w:r w:rsidR="00F24CB3">
        <w:t xml:space="preserve">open to a director. </w:t>
      </w:r>
    </w:p>
    <w:p w14:paraId="60E8D144" w14:textId="3D222ABC" w:rsidR="009577A4" w:rsidRPr="00351A7E" w:rsidRDefault="002E6769" w:rsidP="00A81710">
      <w:pPr>
        <w:pStyle w:val="MainBody0"/>
      </w:pPr>
      <w:r>
        <w:t>Therefore</w:t>
      </w:r>
      <w:r w:rsidR="00E0187B">
        <w:t xml:space="preserve">, the most </w:t>
      </w:r>
      <w:r w:rsidR="00603093">
        <w:t xml:space="preserve">effective form of legal challenge is likely </w:t>
      </w:r>
      <w:r w:rsidR="003C5121">
        <w:t xml:space="preserve">to be procedural </w:t>
      </w:r>
      <w:r w:rsidR="007C4798">
        <w:t xml:space="preserve">in nature rather than substantive. Because there is </w:t>
      </w:r>
      <w:r w:rsidR="00290144">
        <w:t xml:space="preserve">wide scope for disagreement about how best to react to climate change in substantive terms, it is intrinsically difficult to show that directors have reached an unreasonable and untenable </w:t>
      </w:r>
      <w:r w:rsidR="008E1F21">
        <w:t xml:space="preserve">view on the substance of those issues. But where there are procedural duties, an emphasis on enforcing them does not </w:t>
      </w:r>
      <w:r w:rsidR="009F5537">
        <w:t>involve any challenge to the authority of directors to run a company</w:t>
      </w:r>
      <w:r w:rsidR="00351A7E">
        <w:t xml:space="preserve">’s business by making relevant </w:t>
      </w:r>
      <w:r w:rsidR="00351A7E">
        <w:rPr>
          <w:i/>
          <w:iCs/>
        </w:rPr>
        <w:t>business</w:t>
      </w:r>
      <w:r w:rsidR="00351A7E">
        <w:t xml:space="preserve"> judgments.</w:t>
      </w:r>
      <w:r w:rsidR="0037733F">
        <w:t xml:space="preserve"> To enforce compliance with procedural obligations is merely to insist that directors </w:t>
      </w:r>
      <w:r w:rsidR="0066069B">
        <w:t xml:space="preserve">go about forming an opinion on the substantive business merits in the correct way. The same pattern of </w:t>
      </w:r>
      <w:r w:rsidR="00AE1BB9">
        <w:t xml:space="preserve">court intervention based on procedural breaches rather than substitution of judgment on substantive matters </w:t>
      </w:r>
      <w:r w:rsidR="00845669">
        <w:t>which the courts do not have constitutional authority to decide can be seen in the public law cases.</w:t>
      </w:r>
      <w:r w:rsidR="0037733F">
        <w:t xml:space="preserve"> </w:t>
      </w:r>
    </w:p>
    <w:p w14:paraId="13E4978B" w14:textId="6B66B9E7" w:rsidR="00912ABC" w:rsidRPr="00AC4F22" w:rsidRDefault="00AB4ADF" w:rsidP="00294399">
      <w:pPr>
        <w:pStyle w:val="MainBody0"/>
      </w:pPr>
      <w:r>
        <w:t>Finally</w:t>
      </w:r>
      <w:r w:rsidR="00912ABC">
        <w:t xml:space="preserve">, </w:t>
      </w:r>
      <w:r w:rsidR="0085246B">
        <w:t xml:space="preserve">both </w:t>
      </w:r>
      <w:r w:rsidR="002E38EA">
        <w:rPr>
          <w:i/>
          <w:iCs/>
        </w:rPr>
        <w:t xml:space="preserve">ClientEarth </w:t>
      </w:r>
      <w:r w:rsidR="002E38EA">
        <w:t xml:space="preserve">and </w:t>
      </w:r>
      <w:r w:rsidR="002E38EA">
        <w:rPr>
          <w:i/>
          <w:iCs/>
        </w:rPr>
        <w:t>McG</w:t>
      </w:r>
      <w:r w:rsidR="00F22C05">
        <w:rPr>
          <w:i/>
          <w:iCs/>
        </w:rPr>
        <w:t xml:space="preserve">aughey </w:t>
      </w:r>
      <w:r w:rsidR="0085246B">
        <w:t>show how the derivative action provides a novel avenue for activist investors and others to influence company decision</w:t>
      </w:r>
      <w:r w:rsidR="0062004B">
        <w:t>-</w:t>
      </w:r>
      <w:r w:rsidR="004D65EE">
        <w:t>making</w:t>
      </w:r>
      <w:r w:rsidR="0085246B">
        <w:t xml:space="preserve">. However, </w:t>
      </w:r>
      <w:r w:rsidR="00F22C05">
        <w:rPr>
          <w:i/>
          <w:iCs/>
        </w:rPr>
        <w:t xml:space="preserve">ClientEarth </w:t>
      </w:r>
      <w:r w:rsidR="00F22C05">
        <w:t>al</w:t>
      </w:r>
      <w:r w:rsidR="00294399">
        <w:t xml:space="preserve">so </w:t>
      </w:r>
      <w:r w:rsidR="00F22C05">
        <w:t>illustrates</w:t>
      </w:r>
      <w:r w:rsidR="00294399">
        <w:t xml:space="preserve"> the </w:t>
      </w:r>
      <w:r w:rsidR="00861B5F">
        <w:t>cost</w:t>
      </w:r>
      <w:r w:rsidR="00F22C05">
        <w:t>s</w:t>
      </w:r>
      <w:r w:rsidR="00861B5F">
        <w:t xml:space="preserve"> </w:t>
      </w:r>
      <w:r w:rsidR="00294399">
        <w:t xml:space="preserve">risk involved where </w:t>
      </w:r>
      <w:r w:rsidR="00F22C05">
        <w:t xml:space="preserve">a </w:t>
      </w:r>
      <w:r w:rsidR="00294399">
        <w:t>claim fail</w:t>
      </w:r>
      <w:r w:rsidR="00F22C05">
        <w:t>s</w:t>
      </w:r>
      <w:r w:rsidR="00294399">
        <w:t>. I</w:t>
      </w:r>
      <w:r w:rsidR="00912ABC" w:rsidRPr="00294399">
        <w:t>n</w:t>
      </w:r>
      <w:r w:rsidR="00912ABC">
        <w:t xml:space="preserve"> practical terms,</w:t>
      </w:r>
      <w:r w:rsidR="00661757">
        <w:t xml:space="preserve"> </w:t>
      </w:r>
      <w:r w:rsidR="00EB08DD">
        <w:t xml:space="preserve">the costs </w:t>
      </w:r>
      <w:r w:rsidR="00912ABC">
        <w:t>as</w:t>
      </w:r>
      <w:r w:rsidR="00EB08DD">
        <w:t xml:space="preserve">sociated with a claim are just as significant as </w:t>
      </w:r>
      <w:r w:rsidR="00912ABC">
        <w:t>the merits</w:t>
      </w:r>
      <w:r w:rsidR="00F82257">
        <w:t>,</w:t>
      </w:r>
      <w:r w:rsidR="00277565">
        <w:t xml:space="preserve"> given that </w:t>
      </w:r>
      <w:r w:rsidR="00F82257">
        <w:t xml:space="preserve">the risk on costs </w:t>
      </w:r>
      <w:r w:rsidR="00277565">
        <w:t>may deter future claimants from bringing a claim</w:t>
      </w:r>
      <w:r w:rsidR="00627A1B">
        <w:t xml:space="preserve">, </w:t>
      </w:r>
      <w:r w:rsidR="00627A1B" w:rsidRPr="00627A1B">
        <w:t xml:space="preserve">particularly non-profit organisations or individual claimants </w:t>
      </w:r>
      <w:r w:rsidR="00770657">
        <w:t>who lack</w:t>
      </w:r>
      <w:r w:rsidR="00627A1B" w:rsidRPr="00627A1B">
        <w:t xml:space="preserve"> substantial financial resources</w:t>
      </w:r>
      <w:r w:rsidR="00253AB0">
        <w:t xml:space="preserve">. </w:t>
      </w:r>
    </w:p>
    <w:p w14:paraId="59B5237A" w14:textId="5ADD2479" w:rsidR="00391270" w:rsidRDefault="002F59EC" w:rsidP="002B1F3D">
      <w:pPr>
        <w:pStyle w:val="MainBody0"/>
      </w:pPr>
      <w:r>
        <w:t xml:space="preserve">Standing back, </w:t>
      </w:r>
      <w:r>
        <w:rPr>
          <w:i/>
          <w:iCs/>
        </w:rPr>
        <w:t xml:space="preserve">ClientEarth </w:t>
      </w:r>
      <w:r>
        <w:t xml:space="preserve">and </w:t>
      </w:r>
      <w:r>
        <w:rPr>
          <w:i/>
          <w:iCs/>
        </w:rPr>
        <w:t xml:space="preserve">McGaughey </w:t>
      </w:r>
      <w:r w:rsidR="003E4929">
        <w:t>show</w:t>
      </w:r>
      <w:r>
        <w:t xml:space="preserve"> th</w:t>
      </w:r>
      <w:r w:rsidR="00173439">
        <w:t>at</w:t>
      </w:r>
      <w:r>
        <w:t xml:space="preserve"> </w:t>
      </w:r>
      <w:r w:rsidR="007B019D">
        <w:t xml:space="preserve">there are </w:t>
      </w:r>
      <w:r>
        <w:t xml:space="preserve">significant hurdles </w:t>
      </w:r>
      <w:r w:rsidR="009158D2">
        <w:t>facing</w:t>
      </w:r>
      <w:r w:rsidR="007B019D">
        <w:t xml:space="preserve"> potential claimants </w:t>
      </w:r>
      <w:r w:rsidR="003338D9">
        <w:t>brin</w:t>
      </w:r>
      <w:r w:rsidR="00245A5D">
        <w:t>ging</w:t>
      </w:r>
      <w:r w:rsidR="003338D9">
        <w:t xml:space="preserve"> claims against directors </w:t>
      </w:r>
      <w:r w:rsidR="00245A5D">
        <w:t xml:space="preserve">due to </w:t>
      </w:r>
      <w:r w:rsidR="005428DC">
        <w:t>in</w:t>
      </w:r>
      <w:r w:rsidR="00245A5D">
        <w:t xml:space="preserve">action </w:t>
      </w:r>
      <w:r w:rsidR="005428DC">
        <w:t xml:space="preserve">on </w:t>
      </w:r>
      <w:r w:rsidR="00245A5D">
        <w:t xml:space="preserve">climate change. </w:t>
      </w:r>
      <w:r w:rsidR="004F79B2">
        <w:t>But i</w:t>
      </w:r>
      <w:r w:rsidR="00735E1F">
        <w:t>t would be wrong to suggest</w:t>
      </w:r>
      <w:r w:rsidR="005E5E05">
        <w:t xml:space="preserve"> </w:t>
      </w:r>
      <w:r w:rsidR="00735E1F">
        <w:t xml:space="preserve">that </w:t>
      </w:r>
      <w:r w:rsidR="00210787">
        <w:t xml:space="preserve">they </w:t>
      </w:r>
      <w:r w:rsidR="00D86520">
        <w:t xml:space="preserve">mean </w:t>
      </w:r>
      <w:r w:rsidR="00210787">
        <w:t>all</w:t>
      </w:r>
      <w:r w:rsidR="00D86520">
        <w:t xml:space="preserve"> </w:t>
      </w:r>
      <w:r w:rsidR="008E61B8">
        <w:t>future cases will have the same outcome</w:t>
      </w:r>
      <w:r w:rsidR="00735E1F">
        <w:t xml:space="preserve">. </w:t>
      </w:r>
      <w:r w:rsidR="00174022">
        <w:t>T</w:t>
      </w:r>
      <w:r w:rsidR="00FB65C4">
        <w:t xml:space="preserve">he claims </w:t>
      </w:r>
      <w:r w:rsidR="005756F5">
        <w:t>failed due</w:t>
      </w:r>
      <w:r w:rsidR="00174022">
        <w:t>, in part, to</w:t>
      </w:r>
      <w:r w:rsidR="005756F5">
        <w:t xml:space="preserve"> a </w:t>
      </w:r>
      <w:r w:rsidR="00FB65C4">
        <w:t>lack of evidence</w:t>
      </w:r>
      <w:r w:rsidR="005756F5">
        <w:t xml:space="preserve"> </w:t>
      </w:r>
      <w:r w:rsidR="00FB65C4">
        <w:t xml:space="preserve">and </w:t>
      </w:r>
      <w:r w:rsidR="005A0DF0">
        <w:t>the fact that the defendants had given consideration to climate risk</w:t>
      </w:r>
      <w:r w:rsidR="00FB65C4">
        <w:t>.</w:t>
      </w:r>
      <w:r w:rsidR="00FA436C">
        <w:t xml:space="preserve"> </w:t>
      </w:r>
      <w:r w:rsidR="006324D5">
        <w:t xml:space="preserve">Other cases </w:t>
      </w:r>
      <w:r w:rsidR="00FA436C">
        <w:t>may be different.</w:t>
      </w:r>
      <w:r w:rsidR="00FB65C4">
        <w:t xml:space="preserve"> </w:t>
      </w:r>
    </w:p>
    <w:p w14:paraId="704AE98F" w14:textId="340994F7" w:rsidR="00F538FD" w:rsidRDefault="00C91D8D" w:rsidP="002B1F3D">
      <w:pPr>
        <w:pStyle w:val="MainBody0"/>
      </w:pPr>
      <w:r>
        <w:t xml:space="preserve">Although </w:t>
      </w:r>
      <w:r w:rsidR="00391270">
        <w:t xml:space="preserve">I </w:t>
      </w:r>
      <w:r>
        <w:t xml:space="preserve">reserve my own opinion, I </w:t>
      </w:r>
      <w:r w:rsidR="00391270">
        <w:t xml:space="preserve">should also refer to criticism of </w:t>
      </w:r>
      <w:r w:rsidR="00FB65C4">
        <w:t>t</w:t>
      </w:r>
      <w:r w:rsidR="00735E1F">
        <w:t xml:space="preserve">he judgment in </w:t>
      </w:r>
      <w:r w:rsidR="00735E1F">
        <w:rPr>
          <w:i/>
          <w:iCs/>
        </w:rPr>
        <w:t xml:space="preserve">ClientEarth </w:t>
      </w:r>
      <w:r w:rsidR="00807ED9">
        <w:t xml:space="preserve">in an article </w:t>
      </w:r>
      <w:r w:rsidR="002E1EDE">
        <w:t xml:space="preserve">by </w:t>
      </w:r>
      <w:r w:rsidR="00807ED9">
        <w:t xml:space="preserve">a </w:t>
      </w:r>
      <w:r w:rsidR="002E1EDE">
        <w:t xml:space="preserve">former </w:t>
      </w:r>
      <w:r w:rsidR="009F1266">
        <w:t>Justice of the Supreme Court, Lord Carnwarth.</w:t>
      </w:r>
      <w:r w:rsidR="00EA4A22" w:rsidRPr="001C4185">
        <w:rPr>
          <w:rStyle w:val="FootnoteReference"/>
        </w:rPr>
        <w:footnoteReference w:id="72"/>
      </w:r>
      <w:r w:rsidR="009F1266">
        <w:t xml:space="preserve"> </w:t>
      </w:r>
      <w:r w:rsidR="00856E41">
        <w:t xml:space="preserve">In </w:t>
      </w:r>
      <w:r w:rsidR="00807ED9">
        <w:t>the</w:t>
      </w:r>
      <w:r w:rsidR="00856E41">
        <w:t xml:space="preserve"> article, h</w:t>
      </w:r>
      <w:r w:rsidR="009F1266">
        <w:t xml:space="preserve">e </w:t>
      </w:r>
      <w:r w:rsidR="00E13350">
        <w:t>criticises</w:t>
      </w:r>
      <w:r w:rsidR="009F1266">
        <w:t xml:space="preserve"> the judge’s reasoning in</w:t>
      </w:r>
      <w:r w:rsidR="00037E3B">
        <w:t xml:space="preserve"> </w:t>
      </w:r>
      <w:r w:rsidR="00037E3B">
        <w:rPr>
          <w:i/>
          <w:iCs/>
        </w:rPr>
        <w:t>ClientEarth</w:t>
      </w:r>
      <w:r w:rsidR="00037E3B">
        <w:t xml:space="preserve"> in</w:t>
      </w:r>
      <w:r w:rsidR="009F1266">
        <w:t xml:space="preserve"> </w:t>
      </w:r>
      <w:r w:rsidR="0029554D">
        <w:t>several</w:t>
      </w:r>
      <w:r w:rsidR="009F1266">
        <w:t xml:space="preserve"> respects.</w:t>
      </w:r>
      <w:r w:rsidR="002B1F3D">
        <w:t xml:space="preserve"> </w:t>
      </w:r>
    </w:p>
    <w:p w14:paraId="1B2F9C40" w14:textId="70CD27EC" w:rsidR="00D23A06" w:rsidRDefault="002B1F3D" w:rsidP="00D23A06">
      <w:pPr>
        <w:pStyle w:val="MainBody0"/>
      </w:pPr>
      <w:r>
        <w:t>First</w:t>
      </w:r>
      <w:r w:rsidR="00E51053">
        <w:t xml:space="preserve">, </w:t>
      </w:r>
      <w:r w:rsidR="00A71923">
        <w:t xml:space="preserve">Lord Carnwarth questions </w:t>
      </w:r>
      <w:r w:rsidR="00E51053">
        <w:t>the judge’s reliance on the fact that there</w:t>
      </w:r>
      <w:r w:rsidR="00DE51BC">
        <w:t xml:space="preserve"> is</w:t>
      </w:r>
      <w:r w:rsidR="00E51053">
        <w:t xml:space="preserve"> </w:t>
      </w:r>
      <w:r w:rsidR="00E51053" w:rsidRPr="00E51053">
        <w:t xml:space="preserve">no “universally accepted methodology” for achieving </w:t>
      </w:r>
      <w:r w:rsidR="005E527B">
        <w:t>emissions</w:t>
      </w:r>
      <w:r w:rsidR="00E51053" w:rsidRPr="00E51053">
        <w:t xml:space="preserve"> reductions</w:t>
      </w:r>
      <w:r w:rsidR="005638C3">
        <w:rPr>
          <w:rFonts w:asciiTheme="minorHAnsi" w:hAnsiTheme="minorHAnsi"/>
          <w:sz w:val="24"/>
        </w:rPr>
        <w:t xml:space="preserve">, </w:t>
      </w:r>
      <w:r w:rsidR="00EF6707" w:rsidRPr="00EF6707">
        <w:t>arguing that this does not address the core issue</w:t>
      </w:r>
      <w:r w:rsidR="009F5B07">
        <w:t xml:space="preserve"> of </w:t>
      </w:r>
      <w:r w:rsidR="00EF6707" w:rsidRPr="00EF6707">
        <w:t xml:space="preserve">whether Shell’s directors </w:t>
      </w:r>
      <w:r w:rsidR="00805C43">
        <w:t>had</w:t>
      </w:r>
      <w:r w:rsidR="00EF6707" w:rsidRPr="00EF6707">
        <w:t xml:space="preserve"> implement</w:t>
      </w:r>
      <w:r w:rsidR="00805C43">
        <w:t>ed</w:t>
      </w:r>
      <w:r w:rsidR="00EF6707" w:rsidRPr="00EF6707">
        <w:t xml:space="preserve"> any credible strategy to meet their stated climate targets.</w:t>
      </w:r>
      <w:r w:rsidR="005E527B">
        <w:t xml:space="preserve"> </w:t>
      </w:r>
      <w:r w:rsidR="00B920A5">
        <w:t xml:space="preserve">In his view, </w:t>
      </w:r>
      <w:r w:rsidR="005E527B">
        <w:t>the judgment failed to engage with Shell’s absence of policies to achieve their stated aims</w:t>
      </w:r>
      <w:r w:rsidR="00190EA4">
        <w:t>,</w:t>
      </w:r>
      <w:r w:rsidR="005E527B">
        <w:t xml:space="preserve"> </w:t>
      </w:r>
      <w:r w:rsidR="00E33B34">
        <w:t>as</w:t>
      </w:r>
      <w:r w:rsidR="005E527B">
        <w:t xml:space="preserve"> </w:t>
      </w:r>
      <w:r w:rsidR="00E62588">
        <w:t xml:space="preserve">it is not </w:t>
      </w:r>
      <w:r w:rsidR="005E527B" w:rsidRPr="005E527B">
        <w:t>apparent from the judgment what, if any, policies were relied upon by Shell in its submission</w:t>
      </w:r>
      <w:r w:rsidR="008C0E6B">
        <w:t xml:space="preserve">s. </w:t>
      </w:r>
      <w:r w:rsidR="005B6A66">
        <w:t>As for relief</w:t>
      </w:r>
      <w:r w:rsidR="00306332">
        <w:t xml:space="preserve">, </w:t>
      </w:r>
      <w:r w:rsidR="009B303B">
        <w:t>whilst Lord Carnwarth agreed that</w:t>
      </w:r>
      <w:r w:rsidR="009B303B" w:rsidRPr="009B303B">
        <w:t xml:space="preserve"> a mandatory injunction would be inappropriate,</w:t>
      </w:r>
      <w:r w:rsidR="00636991">
        <w:t xml:space="preserve"> </w:t>
      </w:r>
      <w:r w:rsidR="002E3E88">
        <w:t>he</w:t>
      </w:r>
      <w:r w:rsidR="00636991">
        <w:t xml:space="preserve"> </w:t>
      </w:r>
      <w:r w:rsidR="002E3E88">
        <w:t xml:space="preserve">finds </w:t>
      </w:r>
      <w:r w:rsidR="00E806FB">
        <w:t>it harder to understand</w:t>
      </w:r>
      <w:r w:rsidR="00513E9F">
        <w:t xml:space="preserve"> the judge’s </w:t>
      </w:r>
      <w:r w:rsidR="004467F4">
        <w:t xml:space="preserve">reasoning that </w:t>
      </w:r>
      <w:r w:rsidR="009B303B" w:rsidRPr="009B303B">
        <w:t>a declaratory remedy</w:t>
      </w:r>
      <w:r w:rsidR="00636991">
        <w:t xml:space="preserve"> </w:t>
      </w:r>
      <w:r w:rsidR="004D1629">
        <w:t>would</w:t>
      </w:r>
      <w:r w:rsidR="00636991">
        <w:t xml:space="preserve"> </w:t>
      </w:r>
      <w:r w:rsidR="004D1629">
        <w:t xml:space="preserve">serve </w:t>
      </w:r>
      <w:r w:rsidR="00636991">
        <w:t>no useful purpose</w:t>
      </w:r>
      <w:r w:rsidR="00025DE4">
        <w:t xml:space="preserve">. </w:t>
      </w:r>
      <w:r w:rsidR="00625407">
        <w:t>Similar</w:t>
      </w:r>
      <w:r w:rsidR="00025DE4">
        <w:t xml:space="preserve"> declarations are common</w:t>
      </w:r>
      <w:r w:rsidR="004C00D1">
        <w:t xml:space="preserve"> in public law</w:t>
      </w:r>
      <w:r w:rsidR="00025DE4">
        <w:t xml:space="preserve"> and the </w:t>
      </w:r>
      <w:r w:rsidR="00636991">
        <w:t xml:space="preserve">directors would have felt bound </w:t>
      </w:r>
      <w:r w:rsidR="0068451D">
        <w:t xml:space="preserve">to </w:t>
      </w:r>
      <w:r w:rsidR="00636991">
        <w:t xml:space="preserve">change their </w:t>
      </w:r>
      <w:r w:rsidR="00636991">
        <w:lastRenderedPageBreak/>
        <w:t xml:space="preserve">actions. </w:t>
      </w:r>
      <w:r w:rsidR="00776520" w:rsidRPr="00776520">
        <w:t>Finally, Lord</w:t>
      </w:r>
      <w:r w:rsidR="00DA4A7D">
        <w:t xml:space="preserve"> Carnwath</w:t>
      </w:r>
      <w:r w:rsidR="00776520" w:rsidRPr="00776520">
        <w:t xml:space="preserve"> criticises the court’s finding that ClientEarth’s claim was driven primarily by policy advocacy rather than the company</w:t>
      </w:r>
      <w:r w:rsidR="005D3F3C">
        <w:t>’</w:t>
      </w:r>
      <w:r w:rsidR="00776520" w:rsidRPr="00776520">
        <w:t>s interests</w:t>
      </w:r>
      <w:r w:rsidR="00182BDB">
        <w:t>. I</w:t>
      </w:r>
      <w:r w:rsidR="003476A3">
        <w:t>n that regard I</w:t>
      </w:r>
      <w:r w:rsidR="00182BDB">
        <w:t xml:space="preserve"> </w:t>
      </w:r>
      <w:r w:rsidR="00DA4A7D">
        <w:t xml:space="preserve">think it can fairly be said </w:t>
      </w:r>
      <w:r w:rsidR="003476A3">
        <w:t xml:space="preserve">that </w:t>
      </w:r>
      <w:r w:rsidR="00D62686">
        <w:t xml:space="preserve">the separation between financial interests and wider policy </w:t>
      </w:r>
      <w:r w:rsidR="00992A36">
        <w:t>questions m</w:t>
      </w:r>
      <w:r w:rsidR="00D62686">
        <w:t xml:space="preserve">ay become </w:t>
      </w:r>
      <w:r w:rsidR="00992A36">
        <w:t xml:space="preserve">more </w:t>
      </w:r>
      <w:r w:rsidR="00D62686">
        <w:t xml:space="preserve">difficult to maintain </w:t>
      </w:r>
      <w:r w:rsidR="00992A36">
        <w:t xml:space="preserve">in light of </w:t>
      </w:r>
      <w:r w:rsidR="00D75201">
        <w:t>the rise of ESG-</w:t>
      </w:r>
      <w:r w:rsidR="00DC3077">
        <w:t>activism in finance</w:t>
      </w:r>
      <w:r w:rsidR="00182BDB">
        <w:t xml:space="preserve"> </w:t>
      </w:r>
      <w:r w:rsidR="00051218">
        <w:t xml:space="preserve">and </w:t>
      </w:r>
      <w:r w:rsidR="00182BDB">
        <w:t xml:space="preserve">investors </w:t>
      </w:r>
      <w:r w:rsidR="00992A36">
        <w:t xml:space="preserve">and the customers from whom companies earn their profits </w:t>
      </w:r>
      <w:r w:rsidR="008F11A1">
        <w:t xml:space="preserve">increasingly </w:t>
      </w:r>
      <w:r w:rsidR="004E4BA7">
        <w:t>placing as much weight on</w:t>
      </w:r>
      <w:r w:rsidR="00182BDB">
        <w:t xml:space="preserve"> environmental factors </w:t>
      </w:r>
      <w:r w:rsidR="004E4BA7">
        <w:t xml:space="preserve">as </w:t>
      </w:r>
      <w:r w:rsidR="0068542A">
        <w:t>financial returns</w:t>
      </w:r>
      <w:r w:rsidR="0024078D">
        <w:t xml:space="preserve"> when making their </w:t>
      </w:r>
      <w:r w:rsidR="00C7406F">
        <w:t xml:space="preserve">investment and purchasing </w:t>
      </w:r>
      <w:r w:rsidR="0024078D">
        <w:t>decisions</w:t>
      </w:r>
      <w:r w:rsidR="0068542A">
        <w:t xml:space="preserve">. </w:t>
      </w:r>
    </w:p>
    <w:p w14:paraId="22EDB934" w14:textId="2B6A23DA" w:rsidR="00D23A06" w:rsidRDefault="00D23A06" w:rsidP="00D23A06">
      <w:pPr>
        <w:pStyle w:val="Heading1"/>
      </w:pPr>
      <w:r>
        <w:t>Conclusion</w:t>
      </w:r>
    </w:p>
    <w:p w14:paraId="029D7908" w14:textId="535C7F00" w:rsidR="001B1F36" w:rsidRDefault="00C7406F" w:rsidP="002B1F3D">
      <w:pPr>
        <w:pStyle w:val="MainBody0"/>
      </w:pPr>
      <w:r>
        <w:t>I think</w:t>
      </w:r>
      <w:r w:rsidR="002604AB">
        <w:t xml:space="preserve"> it is safe to assume that whilst these are the first cases </w:t>
      </w:r>
      <w:r w:rsidR="00220F27">
        <w:t xml:space="preserve">in this jurisdiction </w:t>
      </w:r>
      <w:r w:rsidR="002604AB">
        <w:t xml:space="preserve">on </w:t>
      </w:r>
      <w:r w:rsidR="0077602C">
        <w:t>directors’</w:t>
      </w:r>
      <w:r w:rsidR="00572B84">
        <w:t xml:space="preserve"> duties and climate change</w:t>
      </w:r>
      <w:r w:rsidR="009F6866">
        <w:t>,</w:t>
      </w:r>
      <w:r w:rsidR="002604AB">
        <w:t xml:space="preserve"> they will not be the last</w:t>
      </w:r>
      <w:r w:rsidR="00283869">
        <w:t>.</w:t>
      </w:r>
      <w:r w:rsidR="00D23A06">
        <w:t xml:space="preserve"> </w:t>
      </w:r>
      <w:r w:rsidR="000B010F">
        <w:t xml:space="preserve">As the pressure from climate change on society, on established norms of human life and on commercial and financial interests becomes greater and more acute, the pressure on directors to respond with something other than acknowledgement followed by inaction will grow as well. Sitting behind </w:t>
      </w:r>
      <w:r w:rsidR="001D4C72">
        <w:t>directors are the institutions of society</w:t>
      </w:r>
      <w:r w:rsidR="00A44F30">
        <w:t xml:space="preserve">: government, Parliament and the courts. </w:t>
      </w:r>
      <w:r w:rsidR="00A213C2">
        <w:t xml:space="preserve">As the pressure from climate change looks set to increase, the pressure </w:t>
      </w:r>
      <w:r w:rsidR="00036594">
        <w:t xml:space="preserve">on those institutions to respond will increase as well. </w:t>
      </w:r>
      <w:r w:rsidR="00D23A06">
        <w:t>Th</w:t>
      </w:r>
      <w:r w:rsidR="00220F27">
        <w:t xml:space="preserve">e scope for climate change litigation in future </w:t>
      </w:r>
      <w:r w:rsidR="00D23A06">
        <w:t xml:space="preserve">may depend on how Parliament responds to the </w:t>
      </w:r>
      <w:r w:rsidR="00C65980">
        <w:t>interaction between climate change and directors’ duties</w:t>
      </w:r>
      <w:r w:rsidR="005B112F">
        <w:t xml:space="preserve"> in two ways</w:t>
      </w:r>
      <w:r w:rsidR="00C65980">
        <w:t xml:space="preserve">. </w:t>
      </w:r>
    </w:p>
    <w:p w14:paraId="0E9D45F6" w14:textId="77777777" w:rsidR="003D49CA" w:rsidRDefault="001B1F36" w:rsidP="002B1F3D">
      <w:pPr>
        <w:pStyle w:val="MainBody0"/>
      </w:pPr>
      <w:r>
        <w:t>First, i</w:t>
      </w:r>
      <w:r w:rsidR="004A7126">
        <w:t>f Parliament lays down clearer objective standards for directors</w:t>
      </w:r>
      <w:r>
        <w:t xml:space="preserve">’ decision-making, it may be easier for claimants to show they have been breached. </w:t>
      </w:r>
    </w:p>
    <w:p w14:paraId="06ACEFAA" w14:textId="77777777" w:rsidR="00ED6C7D" w:rsidRDefault="001B1F36" w:rsidP="002B1F3D">
      <w:pPr>
        <w:pStyle w:val="MainBody0"/>
      </w:pPr>
      <w:r>
        <w:t xml:space="preserve">Secondly, if Parliament </w:t>
      </w:r>
      <w:r w:rsidR="00C70BB4">
        <w:t xml:space="preserve">takes no action, but the pressures from the impact of climate change become extreme, the courts may find </w:t>
      </w:r>
      <w:r w:rsidR="00F37CB9">
        <w:t xml:space="preserve">that they are increasingly drawn into </w:t>
      </w:r>
      <w:r w:rsidR="009F5C6B">
        <w:t>a</w:t>
      </w:r>
      <w:r w:rsidR="006424D4">
        <w:t>pplication</w:t>
      </w:r>
      <w:r w:rsidR="009F5C6B">
        <w:t xml:space="preserve"> of standards where reasonable</w:t>
      </w:r>
      <w:r w:rsidR="003624D4">
        <w:t xml:space="preserve"> behaviour </w:t>
      </w:r>
      <w:r w:rsidR="009F5C6B">
        <w:t xml:space="preserve">is informed </w:t>
      </w:r>
      <w:r w:rsidR="006424D4">
        <w:t>by those pressures</w:t>
      </w:r>
      <w:r w:rsidR="003624D4">
        <w:t xml:space="preserve">, the parameters of what qualifies as reasonable </w:t>
      </w:r>
      <w:r w:rsidR="0040536B">
        <w:t xml:space="preserve">are narrowed, and it becomes increasingly viable </w:t>
      </w:r>
      <w:r w:rsidR="003D49CA">
        <w:t xml:space="preserve">for claimants </w:t>
      </w:r>
      <w:r w:rsidR="0040536B">
        <w:t xml:space="preserve">to bring claims </w:t>
      </w:r>
      <w:r w:rsidR="00A33A22">
        <w:t xml:space="preserve">against directors </w:t>
      </w:r>
      <w:r w:rsidR="008F5CE6">
        <w:t xml:space="preserve">because of the smaller margin of reasonable judgment which in consequence is available for </w:t>
      </w:r>
      <w:r w:rsidR="00A33A22">
        <w:t xml:space="preserve">those </w:t>
      </w:r>
      <w:r w:rsidR="008F5CE6">
        <w:t xml:space="preserve">directors. </w:t>
      </w:r>
      <w:r w:rsidR="000E1548">
        <w:t xml:space="preserve">The pressure imposed by climate change on the political and legal system may </w:t>
      </w:r>
      <w:r w:rsidR="00F244D6">
        <w:t xml:space="preserve">make it difficult for </w:t>
      </w:r>
      <w:r w:rsidR="00ED6C7D">
        <w:t xml:space="preserve">company directors </w:t>
      </w:r>
      <w:r w:rsidR="00F244D6">
        <w:t xml:space="preserve">to avoid </w:t>
      </w:r>
      <w:r w:rsidR="002E30B6">
        <w:t xml:space="preserve">demands for a more active response from </w:t>
      </w:r>
      <w:r w:rsidR="00ED6C7D">
        <w:t>them</w:t>
      </w:r>
      <w:r w:rsidR="002E30B6">
        <w:t xml:space="preserve"> in their conduct of business activities.</w:t>
      </w:r>
      <w:r w:rsidR="008C21D5">
        <w:t xml:space="preserve"> </w:t>
      </w:r>
    </w:p>
    <w:p w14:paraId="1448B7C1" w14:textId="028D2F3D" w:rsidR="00713191" w:rsidRDefault="00107FAC" w:rsidP="002B1F3D">
      <w:pPr>
        <w:pStyle w:val="MainBody0"/>
      </w:pPr>
      <w:r>
        <w:t>Although much has changed in the</w:t>
      </w:r>
      <w:r w:rsidR="00F75743">
        <w:t xml:space="preserve"> six years </w:t>
      </w:r>
      <w:r>
        <w:t xml:space="preserve">since </w:t>
      </w:r>
      <w:r w:rsidR="0048525A">
        <w:t xml:space="preserve">I </w:t>
      </w:r>
      <w:r w:rsidR="00ED6C7D">
        <w:t xml:space="preserve">last </w:t>
      </w:r>
      <w:r w:rsidR="0048525A">
        <w:t>visited this topic</w:t>
      </w:r>
      <w:r w:rsidR="00F75743">
        <w:t xml:space="preserve">, </w:t>
      </w:r>
      <w:r w:rsidR="005B64A3">
        <w:t xml:space="preserve">and the pressure on society from climate change has increased, </w:t>
      </w:r>
      <w:r w:rsidR="00F75743">
        <w:t xml:space="preserve">the law </w:t>
      </w:r>
      <w:r w:rsidR="000E2E8A">
        <w:t xml:space="preserve">as to how that impacts on directors’ duties </w:t>
      </w:r>
      <w:r w:rsidR="00F75743">
        <w:t xml:space="preserve">remains </w:t>
      </w:r>
      <w:r w:rsidR="000E2E8A">
        <w:t xml:space="preserve">relatively undeveloped. </w:t>
      </w:r>
      <w:r w:rsidR="003C1E56">
        <w:t xml:space="preserve">That pressure </w:t>
      </w:r>
      <w:r w:rsidR="005C5A24">
        <w:t xml:space="preserve">from climate change </w:t>
      </w:r>
      <w:r w:rsidR="003C1E56">
        <w:t xml:space="preserve">is not going away. It is increasing. In one way or another, that is likely to filter </w:t>
      </w:r>
      <w:r w:rsidR="00265678">
        <w:t>down to affect the conduct expected of company directors</w:t>
      </w:r>
      <w:r w:rsidR="00E0151E">
        <w:t xml:space="preserve">. </w:t>
      </w:r>
    </w:p>
    <w:p w14:paraId="37C94550" w14:textId="77777777" w:rsidR="00572B84" w:rsidRDefault="00572B84" w:rsidP="002B1F3D">
      <w:pPr>
        <w:pStyle w:val="MainBody0"/>
      </w:pPr>
    </w:p>
    <w:p w14:paraId="008D1624" w14:textId="39896A2F" w:rsidR="00572B84" w:rsidRPr="00735E1F" w:rsidRDefault="00572B84" w:rsidP="002B1F3D">
      <w:pPr>
        <w:pStyle w:val="MainBody0"/>
      </w:pPr>
      <w:r>
        <w:t xml:space="preserve">Thank you. </w:t>
      </w:r>
    </w:p>
    <w:p w14:paraId="5A89ABB9" w14:textId="485C6C57" w:rsidR="002B1CF8" w:rsidRPr="009C6BD8" w:rsidRDefault="00F042D3" w:rsidP="00F042D3">
      <w:pPr>
        <w:pStyle w:val="MainBody0"/>
        <w:ind w:firstLine="0"/>
      </w:pPr>
      <w:r>
        <w:t xml:space="preserve"> </w:t>
      </w:r>
    </w:p>
    <w:sectPr w:rsidR="002B1CF8" w:rsidRPr="009C6BD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223A2" w14:textId="77777777" w:rsidR="00A22FB9" w:rsidRDefault="00A22FB9" w:rsidP="000A2426">
      <w:pPr>
        <w:spacing w:after="0" w:line="240" w:lineRule="auto"/>
      </w:pPr>
      <w:r>
        <w:separator/>
      </w:r>
    </w:p>
  </w:endnote>
  <w:endnote w:type="continuationSeparator" w:id="0">
    <w:p w14:paraId="5DA8D8A5" w14:textId="77777777" w:rsidR="00A22FB9" w:rsidRDefault="00A22FB9" w:rsidP="000A2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Gisha">
    <w:altName w:val="Gisha"/>
    <w:panose1 w:val="020B0502040204020203"/>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411238"/>
      <w:docPartObj>
        <w:docPartGallery w:val="Page Numbers (Bottom of Page)"/>
        <w:docPartUnique/>
      </w:docPartObj>
    </w:sdtPr>
    <w:sdtEndPr>
      <w:rPr>
        <w:noProof/>
      </w:rPr>
    </w:sdtEndPr>
    <w:sdtContent>
      <w:p w14:paraId="1F241168" w14:textId="12363044" w:rsidR="000B7C58" w:rsidRDefault="000B7C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33453" w14:textId="77777777" w:rsidR="000B7C58" w:rsidRDefault="000B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47F9B" w14:textId="77777777" w:rsidR="00A22FB9" w:rsidRDefault="00A22FB9" w:rsidP="000A2426">
      <w:pPr>
        <w:spacing w:after="0" w:line="240" w:lineRule="auto"/>
      </w:pPr>
      <w:r>
        <w:separator/>
      </w:r>
    </w:p>
  </w:footnote>
  <w:footnote w:type="continuationSeparator" w:id="0">
    <w:p w14:paraId="5C93F795" w14:textId="77777777" w:rsidR="00A22FB9" w:rsidRDefault="00A22FB9" w:rsidP="000A2426">
      <w:pPr>
        <w:spacing w:after="0" w:line="240" w:lineRule="auto"/>
      </w:pPr>
      <w:r>
        <w:continuationSeparator/>
      </w:r>
    </w:p>
  </w:footnote>
  <w:footnote w:id="1">
    <w:p w14:paraId="68EE2C38" w14:textId="0BAEFB45" w:rsidR="00F27C0C" w:rsidRDefault="00F27C0C">
      <w:pPr>
        <w:pStyle w:val="FootnoteText"/>
      </w:pPr>
      <w:r>
        <w:rPr>
          <w:rStyle w:val="FootnoteReference"/>
        </w:rPr>
        <w:t>*</w:t>
      </w:r>
      <w:r>
        <w:t xml:space="preserve"> I am grateful to my Judicial Assistant, Monty Fynn, for his invaluable assistance in </w:t>
      </w:r>
      <w:r w:rsidR="004E6AF8">
        <w:t>the preparation of this lecture</w:t>
      </w:r>
      <w:r w:rsidR="00C12195">
        <w:t>.</w:t>
      </w:r>
    </w:p>
  </w:footnote>
  <w:footnote w:id="2">
    <w:p w14:paraId="10A1A4F6" w14:textId="1091F986" w:rsidR="008935EF" w:rsidRDefault="008935EF">
      <w:pPr>
        <w:pStyle w:val="FootnoteText"/>
      </w:pPr>
      <w:r w:rsidRPr="001C4185">
        <w:rPr>
          <w:rStyle w:val="FootnoteReference"/>
        </w:rPr>
        <w:footnoteRef/>
      </w:r>
      <w:r>
        <w:t xml:space="preserve"> </w:t>
      </w:r>
      <w:r>
        <w:fldChar w:fldCharType="begin"/>
      </w:r>
      <w:r w:rsidR="009824B3">
        <w:instrText xml:space="preserve"> ADDIN ZOTERO_ITEM CSL_CITATION {"citationID":"nMALLbht","properties":{"formattedCitation":"\\uc0\\u8216{}Directors\\uc0\\u8217{} Duties and Climate Change: Keeping Pace with Environmental Challenges\\uc0\\u8217{} (Anglo-Australasian Law Society, Sydney, 27 August 2019) &lt;https://supremecourt.uk/speeches/lord-sales-at-the-anglo-australasian-law-society-sydney&gt; accessed 14 February 2024.","plainCitation":"‘Directors’ Duties and Climate Change: Keeping Pace with Environmental Challenges’ (Anglo-Australasian Law Society, Sydney, 27 August 2019) &lt;https://supremecourt.uk/speeches/lord-sales-at-the-anglo-australasian-law-society-sydney&gt; accessed 14 February 2024.","noteIndex":2},"citationItems":[{"id":3571,"uris":["http://zotero.org/users/7352693/items/GVD2UAZZ"],"itemData":{"id":3571,"type":"speech","event-place":"Sydney","event-title":"Anglo-Australasian Law Society","publisher-place":"Sydney","title":"Directors’ duties and climate change: Keeping pace with environmental challenges","URL":"https://supremecourt.uk/speeches/lord-sales-at-the-anglo-australasian-law-society-sydney","accessed":{"date-parts":[["2024",2,14]]},"issued":{"date-parts":[["2019",8,27]]},"citation-key":"DirectorsDutiesClimate2019"}}],"schema":"https://github.com/citation-style-language/schema/raw/master/csl-citation.json"} </w:instrText>
      </w:r>
      <w:r>
        <w:fldChar w:fldCharType="separate"/>
      </w:r>
      <w:r w:rsidR="00AB6F4D" w:rsidRPr="00AB6F4D">
        <w:rPr>
          <w:rFonts w:cs="Times New Roman"/>
          <w:kern w:val="0"/>
        </w:rPr>
        <w:t>‘Directors’ Duties and Climate Change: Keeping Pace with Environmental Challenges’ (Anglo-Australasian Law Society, Sydney, 27 August 2019) &lt;https://supremecourt.uk/speeches/lord-sales-at-the-anglo-australasian-law-society-sydney&gt; accessed 14 February 2024.</w:t>
      </w:r>
      <w:r>
        <w:fldChar w:fldCharType="end"/>
      </w:r>
    </w:p>
  </w:footnote>
  <w:footnote w:id="3">
    <w:p w14:paraId="0C0D2478" w14:textId="257DB33E" w:rsidR="00E75E18" w:rsidRDefault="00E75E18" w:rsidP="00E75E18">
      <w:pPr>
        <w:pStyle w:val="FootnoteText"/>
      </w:pPr>
      <w:r w:rsidRPr="001C4185">
        <w:rPr>
          <w:rStyle w:val="FootnoteReference"/>
        </w:rPr>
        <w:footnoteRef/>
      </w:r>
      <w:r>
        <w:t xml:space="preserve"> </w:t>
      </w:r>
      <w:r>
        <w:fldChar w:fldCharType="begin"/>
      </w:r>
      <w:r w:rsidR="009824B3">
        <w:instrText xml:space="preserve"> ADDIN ZOTERO_ITEM CSL_CITATION {"citationID":"3mJ0kmp4","properties":{"formattedCitation":"Copernicus, \\uc0\\u8216{}2024 Is the First Year to Exceed 1.5\\uc0\\u176{}C above Pre-Industrial Level\\uc0\\u8217{} &lt;https://climate.copernicus.eu/copernicus-2024-first-year-exceed-15degc-above-pre-industrial-level&gt; accessed 14 February 2025.","plainCitation":"Copernicus, ‘2024 Is the First Year to Exceed 1.5°C above Pre-Industrial Level’ &lt;https://climate.copernicus.eu/copernicus-2024-first-year-exceed-15degc-above-pre-industrial-level&gt; accessed 14 February 2025.","noteIndex":3},"citationItems":[{"id":3555,"uris":["http://zotero.org/users/7352693/items/CB895FUN"],"itemData":{"id":3555,"type":"webpage","title":"2024 is the first year to exceed 1.5°C above pre-industrial level","URL":"https://climate.copernicus.eu/copernicus-2024-first-year-exceed-15degc-above-pre-industrial-level","author":[{"literal":"Copernicus"}],"accessed":{"date-parts":[["2025",2,14]]},"citation-key":"copernicus2024FirstYear"}}],"schema":"https://github.com/citation-style-language/schema/raw/master/csl-citation.json"} </w:instrText>
      </w:r>
      <w:r>
        <w:fldChar w:fldCharType="separate"/>
      </w:r>
      <w:r w:rsidRPr="00C16DD2">
        <w:rPr>
          <w:rFonts w:cs="Times New Roman"/>
          <w:kern w:val="0"/>
        </w:rPr>
        <w:t>Copernicus, ‘2024 Is the First Year to Exceed 1.5°C above Pre-Industrial Level’ &lt;https://climate.copernicus.eu/copernicus-2024-first-year-exceed-15degc-above-pre-industrial-level&gt; accessed 14 February 2025.</w:t>
      </w:r>
      <w:r>
        <w:fldChar w:fldCharType="end"/>
      </w:r>
    </w:p>
  </w:footnote>
  <w:footnote w:id="4">
    <w:p w14:paraId="1A418499" w14:textId="0A45BA81" w:rsidR="00D806BA" w:rsidRDefault="00D806BA">
      <w:pPr>
        <w:pStyle w:val="FootnoteText"/>
      </w:pPr>
      <w:r w:rsidRPr="001C4185">
        <w:rPr>
          <w:rStyle w:val="FootnoteReference"/>
        </w:rPr>
        <w:footnoteRef/>
      </w:r>
      <w:r>
        <w:t xml:space="preserve"> </w:t>
      </w:r>
      <w:r>
        <w:fldChar w:fldCharType="begin"/>
      </w:r>
      <w:r w:rsidR="009824B3">
        <w:instrText xml:space="preserve"> ADDIN ZOTERO_ITEM CSL_CITATION {"citationID":"BwrwfSZh","properties":{"formattedCitation":"\\uc0\\u8216{}Joint Hottest Summer on Record for England - Met Office\\uc0\\u8217{} &lt;https://www.metoffice.gov.uk/about-us/news-and-media/media-centre/weather-and-climate-news/2022/joint-hottest-summer-on-record-for-england&gt; accessed 14 February 2025.","plainCitation":"‘Joint Hottest Summer on Record for England - Met Office’ &lt;https://www.metoffice.gov.uk/about-us/news-and-media/media-centre/weather-and-climate-news/2022/joint-hottest-summer-on-record-for-england&gt; accessed 14 February 2025.","noteIndex":4},"citationItems":[{"id":3579,"uris":["http://zotero.org/users/7352693/items/C92RA3F2"],"itemData":{"id":3579,"type":"webpage","title":"Joint hottest summer on record for England - Met Office","URL":"https://www.metoffice.gov.uk/about-us/news-and-media/media-centre/weather-and-climate-news/2022/joint-hottest-summer-on-record-for-england","accessed":{"date-parts":[["2025",2,14]]},"citation-key":"JointHottestSummer"}}],"schema":"https://github.com/citation-style-language/schema/raw/master/csl-citation.json"} </w:instrText>
      </w:r>
      <w:r>
        <w:fldChar w:fldCharType="separate"/>
      </w:r>
      <w:r w:rsidRPr="00D806BA">
        <w:rPr>
          <w:rFonts w:cs="Times New Roman"/>
          <w:kern w:val="0"/>
        </w:rPr>
        <w:t>‘Joint Hottest Summer on Record for England - Met Office’ &lt;https://www.metoffice.gov.uk/about-us/news-and-media/media-centre/weather-and-climate-news/2022/joint-hottest-summer-on-record-for-england&gt; accessed 14 February 2025.</w:t>
      </w:r>
      <w:r>
        <w:fldChar w:fldCharType="end"/>
      </w:r>
    </w:p>
  </w:footnote>
  <w:footnote w:id="5">
    <w:p w14:paraId="6F3CCE15" w14:textId="708E43EE" w:rsidR="00E75E18" w:rsidRDefault="00E75E18" w:rsidP="00E75E18">
      <w:pPr>
        <w:pStyle w:val="FootnoteText"/>
      </w:pPr>
      <w:r w:rsidRPr="001C4185">
        <w:rPr>
          <w:rStyle w:val="FootnoteReference"/>
        </w:rPr>
        <w:footnoteRef/>
      </w:r>
      <w:r>
        <w:t xml:space="preserve"> </w:t>
      </w:r>
      <w:r>
        <w:fldChar w:fldCharType="begin"/>
      </w:r>
      <w:r w:rsidR="009824B3">
        <w:instrText xml:space="preserve"> ADDIN ZOTERO_ITEM CSL_CITATION {"citationID":"N5fxyYT8","properties":{"formattedCitation":"\\uc0\\u8216{}National Drought Group Discusses Preparations for Extreme Weather\\uc0\\u8217{} ({\\i{}GOV.UK}) &lt;https://www.gov.uk/government/news/national-drought-group-discusses-preparations-for-extreme-weather&gt; accessed 14 February 2025.","plainCitation":"‘National Drought Group Discusses Preparations for Extreme Weather’ (GOV.UK) &lt;https://www.gov.uk/government/news/national-drought-group-discusses-preparations-for-extreme-weather&gt; accessed 14 February 2025.","noteIndex":5},"citationItems":[{"id":3557,"uris":["http://zotero.org/users/7352693/items/EPVGFDRK"],"itemData":{"id":3557,"type":"webpage","abstract":"Water resources are healthy following the wettest 12 months in England since 1836","container-title":"GOV.UK","language":"en","title":"National Drought Group discusses preparations for extreme weather","URL":"https://www.gov.uk/government/news/national-drought-group-discusses-preparations-for-extreme-weather","accessed":{"date-parts":[["2025",2,14]]},"citation-key":"NationalDroughtGroup"}}],"schema":"https://github.com/citation-style-language/schema/raw/master/csl-citation.json"} </w:instrText>
      </w:r>
      <w:r>
        <w:fldChar w:fldCharType="separate"/>
      </w:r>
      <w:r w:rsidRPr="000A3891">
        <w:rPr>
          <w:rFonts w:cs="Times New Roman"/>
          <w:kern w:val="0"/>
        </w:rPr>
        <w:t>‘National Drought Group Discusses Preparations for Extreme Weather’ (</w:t>
      </w:r>
      <w:r w:rsidRPr="000A3891">
        <w:rPr>
          <w:rFonts w:cs="Times New Roman"/>
          <w:i/>
          <w:iCs/>
          <w:kern w:val="0"/>
        </w:rPr>
        <w:t>GOV.UK</w:t>
      </w:r>
      <w:r w:rsidRPr="000A3891">
        <w:rPr>
          <w:rFonts w:cs="Times New Roman"/>
          <w:kern w:val="0"/>
        </w:rPr>
        <w:t>) &lt;https://www.gov.uk/government/news/national-drought-group-discusses-preparations-for-extreme-weather&gt; accessed 14 February 2025.</w:t>
      </w:r>
      <w:r>
        <w:fldChar w:fldCharType="end"/>
      </w:r>
    </w:p>
  </w:footnote>
  <w:footnote w:id="6">
    <w:p w14:paraId="11EB3E36" w14:textId="1B03D837" w:rsidR="00BB00B9" w:rsidRDefault="00BB00B9">
      <w:pPr>
        <w:pStyle w:val="FootnoteText"/>
      </w:pPr>
      <w:r>
        <w:rPr>
          <w:rStyle w:val="FootnoteReference"/>
        </w:rPr>
        <w:footnoteRef/>
      </w:r>
      <w:r>
        <w:t xml:space="preserve"> </w:t>
      </w:r>
      <w:r>
        <w:fldChar w:fldCharType="begin"/>
      </w:r>
      <w:r w:rsidR="009824B3">
        <w:instrText xml:space="preserve"> ADDIN ZOTERO_ITEM CSL_CITATION {"citationID":"O7q6spbS","properties":{"formattedCitation":"Bank of England, \\uc0\\u8216{}Results of the 2021 Climate Biennial Exploratory Scenario (CBES)\\uc0\\u8217{} &lt;https://www.bankofengland.co.uk/stress-testing/2022/results-of-the-2021-climate-biennial-exploratory-scenario&gt; accessed 12 February 2025.","plainCitation":"Bank of England, ‘Results of the 2021 Climate Biennial Exploratory Scenario (CBES)’ &lt;https://www.bankofengland.co.uk/stress-testing/2022/results-of-the-2021-climate-biennial-exploratory-scenario&gt; accessed 12 February 2025.","noteIndex":6},"citationItems":[{"id":3600,"uris":["http://zotero.org/users/7352693/items/SNTGER7W"],"itemData":{"id":3600,"type":"webpage","abstract":"The Bank of England (Bank) has today published the results of the Climate Biennial Exploratory Scenario to explore the financial risks posed by climate change for the largest UK banks and insurers (participants).","language":"en","title":"Results of the 2021 Climate Biennial Exploratory Scenario (CBES)","URL":"https://www.bankofengland.co.uk/stress-testing/2022/results-of-the-2021-climate-biennial-exploratory-scenario","author":[{"literal":"Bank of England"}],"accessed":{"date-parts":[["2025",2,12]]},"citation-key":"bankofenglandResults2021Climate"}}],"schema":"https://github.com/citation-style-language/schema/raw/master/csl-citation.json"} </w:instrText>
      </w:r>
      <w:r>
        <w:fldChar w:fldCharType="separate"/>
      </w:r>
      <w:r w:rsidR="009824B3" w:rsidRPr="009824B3">
        <w:rPr>
          <w:rFonts w:cs="Times New Roman"/>
          <w:kern w:val="0"/>
        </w:rPr>
        <w:t>Bank of England, ‘Results of the 2021 Climate Biennial Exploratory Scenario (CBES)’ &lt;https://www.bankofengland.co.uk/stress-testing/2022/results-of-the-2021-climate-biennial-exploratory-scenario&gt; accessed 12 February 2025.</w:t>
      </w:r>
      <w:r>
        <w:fldChar w:fldCharType="end"/>
      </w:r>
    </w:p>
  </w:footnote>
  <w:footnote w:id="7">
    <w:p w14:paraId="06581706" w14:textId="6B851BA5" w:rsidR="002E7156" w:rsidRDefault="002E7156">
      <w:pPr>
        <w:pStyle w:val="FootnoteText"/>
      </w:pPr>
      <w:r w:rsidRPr="001C4185">
        <w:rPr>
          <w:rStyle w:val="FootnoteReference"/>
        </w:rPr>
        <w:footnoteRef/>
      </w:r>
      <w:r>
        <w:t xml:space="preserve"> </w:t>
      </w:r>
      <w:r>
        <w:fldChar w:fldCharType="begin"/>
      </w:r>
      <w:r w:rsidR="009824B3">
        <w:instrText xml:space="preserve"> ADDIN ZOTERO_ITEM CSL_CITATION {"citationID":"1h8JFs4l","properties":{"formattedCitation":"\\uc0\\u8216{}Climate Change: US Formally Withdraws from Paris Agreement\\uc0\\u8217{} {\\i{}BBC News} (4 November 2020) &lt;https://www.bbc.com/news/science-environment-54797743&gt; accessed 12 February 2025.","plainCitation":"‘Climate Change: US Formally Withdraws from Paris Agreement’ BBC News (4 November 2020) &lt;https://www.bbc.com/news/science-environment-54797743&gt; accessed 12 February 2025.","noteIndex":7},"citationItems":[{"id":3584,"uris":["http://zotero.org/users/7352693/items/DKA4KV4X"],"itemData":{"id":3584,"type":"article-newspaper","abstract":"After a three year wait, the US becomes the first nation to leave the Paris climate pact.","container-title":"BBC News","language":"en-GB","section":"Science &amp; Environment","source":"www.bbc.co.uk","title":"Climate change: US formally withdraws from Paris agreement","title-short":"Climate change","URL":"https://www.bbc.com/news/science-environment-54797743","accessed":{"date-parts":[["2025",2,12]]},"issued":{"date-parts":[["2020",11,4]]},"citation-key":"ClimateChangeUS2020"}}],"schema":"https://github.com/citation-style-language/schema/raw/master/csl-citation.json"} </w:instrText>
      </w:r>
      <w:r>
        <w:fldChar w:fldCharType="separate"/>
      </w:r>
      <w:r w:rsidR="00C221C8" w:rsidRPr="00C221C8">
        <w:rPr>
          <w:rFonts w:cs="Times New Roman"/>
          <w:kern w:val="0"/>
        </w:rPr>
        <w:t xml:space="preserve">‘Climate Change: US Formally Withdraws from Paris Agreement’ </w:t>
      </w:r>
      <w:r w:rsidR="00C221C8" w:rsidRPr="00C221C8">
        <w:rPr>
          <w:rFonts w:cs="Times New Roman"/>
          <w:i/>
          <w:iCs/>
          <w:kern w:val="0"/>
        </w:rPr>
        <w:t>BBC News</w:t>
      </w:r>
      <w:r w:rsidR="00C221C8" w:rsidRPr="00C221C8">
        <w:rPr>
          <w:rFonts w:cs="Times New Roman"/>
          <w:kern w:val="0"/>
        </w:rPr>
        <w:t xml:space="preserve"> (4 November 2020) &lt;https://www.bbc.com/news/science-environment-54797743&gt; accessed 12 February 2025.</w:t>
      </w:r>
      <w:r>
        <w:fldChar w:fldCharType="end"/>
      </w:r>
    </w:p>
  </w:footnote>
  <w:footnote w:id="8">
    <w:p w14:paraId="102E9F1B" w14:textId="1AE1F149" w:rsidR="00792F77" w:rsidRDefault="00792F77" w:rsidP="00792F77">
      <w:pPr>
        <w:pStyle w:val="FootnoteText"/>
      </w:pPr>
      <w:r w:rsidRPr="001C4185">
        <w:rPr>
          <w:rStyle w:val="FootnoteReference"/>
        </w:rPr>
        <w:footnoteRef/>
      </w:r>
      <w:r>
        <w:t xml:space="preserve"> </w:t>
      </w:r>
      <w:r>
        <w:fldChar w:fldCharType="begin"/>
      </w:r>
      <w:r w:rsidR="00BB00B9">
        <w:instrText xml:space="preserve"> ADDIN ZOTERO_ITEM CSL_CITATION {"citationID":"my22k50J","properties":{"formattedCitation":"\\uc0\\u8216{}Putting America First in International Environmental Agreements\\uc0\\u8217{} ({\\i{}The White House}, 20 January 2025) &lt;https://www.whitehouse.gov/presidential-actions/2025/01/putting-america-first-in-international-environmental-agreements/&gt; accessed 14 February 2025; Amanda Chu and Jamie Smyth, \\uc0\\u8216{}Donald Trump Halts More than $300bn in US Green Infrastructure Funding\\uc0\\u8217{} {\\i{}Financial Times} (22 January 2025) &lt;https://www.ft.com/content/fcaf50dc-6779-44d2-a7fa-264df798a4c1&gt; accessed 14 February 2025.","plainCitation":"‘Putting America First in International Environmental Agreements’ (The White House, 20 January 2025) &lt;https://www.whitehouse.gov/presidential-actions/2025/01/putting-america-first-in-international-environmental-agreements/&gt; accessed 14 February 2025; Amanda Chu and Jamie Smyth, ‘Donald Trump Halts More than $300bn in US Green Infrastructure Funding’ Financial Times (22 January 2025) &lt;https://www.ft.com/content/fcaf50dc-6779-44d2-a7fa-264df798a4c1&gt; accessed 14 February 2025.","noteIndex":8},"citationItems":[{"id":3543,"uris":["http://zotero.org/users/7352693/items/A9MW29M7"],"itemData":{"id":3543,"type":"webpage","abstract":"By the authority vested in me as President by the Constitution and the laws of the United States of America, it is hereby ordered as follows: Section 1.","container-title":"The White House","language":"en-US","title":"Putting America First in International Environmental Agreements","URL":"https://www.whitehouse.gov/presidential-actions/2025/01/putting-america-first-in-international-environmental-agreements/","accessed":{"date-parts":[["2025",2,14]]},"issued":{"date-parts":[["2025",1,20]]},"citation-key":"PuttingAmericaFirst2025"}},{"id":3547,"uris":["http://zotero.org/users/7352693/items/YHZNJIMD"],"itemData":{"id":3547,"type":"article-newspaper","abstract":"New president’s order to pause federal disbursements cuts critical loans and grants to developers","container-title":"Financial Times","section":"Renewable energy","title":"Donald Trump halts more than $300bn in US green infrastructure funding","URL":"https://www.ft.com/content/fcaf50dc-6779-44d2-a7fa-264df798a4c1","author":[{"family":"Chu","given":"Amanda"},{"family":"Smyth","given":"Jamie"}],"accessed":{"date-parts":[["2025",2,14]]},"issued":{"date-parts":[["2025",1,22]]},"citation-key":"chuDonaldTrumpHalts2025"}}],"schema":"https://github.com/citation-style-language/schema/raw/master/csl-citation.json"} </w:instrText>
      </w:r>
      <w:r>
        <w:fldChar w:fldCharType="separate"/>
      </w:r>
      <w:r w:rsidR="00086BBD" w:rsidRPr="00086BBD">
        <w:rPr>
          <w:rFonts w:cs="Times New Roman"/>
          <w:kern w:val="0"/>
        </w:rPr>
        <w:t>‘Putting America First in International Environmental Agreements’ (</w:t>
      </w:r>
      <w:r w:rsidR="00086BBD" w:rsidRPr="00086BBD">
        <w:rPr>
          <w:rFonts w:cs="Times New Roman"/>
          <w:i/>
          <w:iCs/>
          <w:kern w:val="0"/>
        </w:rPr>
        <w:t>The White House</w:t>
      </w:r>
      <w:r w:rsidR="00086BBD" w:rsidRPr="00086BBD">
        <w:rPr>
          <w:rFonts w:cs="Times New Roman"/>
          <w:kern w:val="0"/>
        </w:rPr>
        <w:t xml:space="preserve">, 20 January 2025) &lt;https://www.whitehouse.gov/presidential-actions/2025/01/putting-america-first-in-international-environmental-agreements/&gt; accessed 14 February 2025; Amanda Chu and Jamie Smyth, ‘Donald Trump Halts More than $300bn in US Green Infrastructure Funding’ </w:t>
      </w:r>
      <w:r w:rsidR="00086BBD" w:rsidRPr="00086BBD">
        <w:rPr>
          <w:rFonts w:cs="Times New Roman"/>
          <w:i/>
          <w:iCs/>
          <w:kern w:val="0"/>
        </w:rPr>
        <w:t>Financial Times</w:t>
      </w:r>
      <w:r w:rsidR="00086BBD" w:rsidRPr="00086BBD">
        <w:rPr>
          <w:rFonts w:cs="Times New Roman"/>
          <w:kern w:val="0"/>
        </w:rPr>
        <w:t xml:space="preserve"> (22 January 2025) &lt;https://www.ft.com/content/fcaf50dc-6779-44d2-a7fa-264df798a4c1&gt; accessed 14 February 2025.</w:t>
      </w:r>
      <w:r>
        <w:fldChar w:fldCharType="end"/>
      </w:r>
    </w:p>
  </w:footnote>
  <w:footnote w:id="9">
    <w:p w14:paraId="695399A0" w14:textId="01E85967" w:rsidR="00A27A93" w:rsidRDefault="00A27A93">
      <w:pPr>
        <w:pStyle w:val="FootnoteText"/>
      </w:pPr>
      <w:r w:rsidRPr="001C4185">
        <w:rPr>
          <w:rStyle w:val="FootnoteReference"/>
        </w:rPr>
        <w:footnoteRef/>
      </w:r>
      <w:r>
        <w:t xml:space="preserve"> </w:t>
      </w:r>
      <w:r>
        <w:fldChar w:fldCharType="begin"/>
      </w:r>
      <w:r w:rsidR="00BB00B9">
        <w:instrText xml:space="preserve"> ADDIN ZOTERO_ITEM CSL_CITATION {"citationID":"xdAcwdUQ","properties":{"formattedCitation":"European Commission, \\uc0\\u8216{}The European Green Deal\\uc0\\u8217{} (14 July 2021) &lt;https://commission.europa.eu/strategy-and-policy/priorities-2019-2024/european-green-deal_en&gt; accessed 14 February 2025.","plainCitation":"European Commission, ‘The European Green Deal’ (14 July 2021) &lt;https://commission.europa.eu/strategy-and-policy/priorities-2019-2024/european-green-deal_en&gt; accessed 14 February 2025.","noteIndex":9},"citationItems":[{"id":3572,"uris":["http://zotero.org/users/7352693/items/PPPT878C"],"itemData":{"id":3572,"type":"webpage","abstract":"Discover the European Commission's proposals to transform the EU into a modern, resource-efficient and competitive economy while reaching climate neutrality by 2050.","language":"en","title":"The European Green Deal","URL":"https://commission.europa.eu/strategy-and-policy/priorities-2019-2024/european-green-deal_en","author":[{"literal":"European Commission"}],"accessed":{"date-parts":[["2025",2,14]]},"issued":{"date-parts":[["2021",7,14]]},"citation-key":"europeancommissionEuropeanGreenDeal2021"}}],"schema":"https://github.com/citation-style-language/schema/raw/master/csl-citation.json"} </w:instrText>
      </w:r>
      <w:r>
        <w:fldChar w:fldCharType="separate"/>
      </w:r>
      <w:r w:rsidRPr="00A27A93">
        <w:rPr>
          <w:rFonts w:cs="Times New Roman"/>
          <w:kern w:val="0"/>
        </w:rPr>
        <w:t>European Commission, ‘The European Green Deal’ (14 July 2021) &lt;https://commission.europa.eu/strategy-and-policy/priorities-2019-2024/european-green-deal_en&gt; accessed 14 February 2025.</w:t>
      </w:r>
      <w:r>
        <w:fldChar w:fldCharType="end"/>
      </w:r>
    </w:p>
  </w:footnote>
  <w:footnote w:id="10">
    <w:p w14:paraId="1F44C096" w14:textId="78E9E6B3" w:rsidR="00A27A93" w:rsidRDefault="00A27A93">
      <w:pPr>
        <w:pStyle w:val="FootnoteText"/>
      </w:pPr>
      <w:r w:rsidRPr="001C4185">
        <w:rPr>
          <w:rStyle w:val="FootnoteReference"/>
        </w:rPr>
        <w:footnoteRef/>
      </w:r>
      <w:r>
        <w:t xml:space="preserve"> </w:t>
      </w:r>
      <w:r>
        <w:fldChar w:fldCharType="begin"/>
      </w:r>
      <w:r w:rsidR="00832B19">
        <w:instrText xml:space="preserve"> ADDIN ZOTERO_ITEM CSL_CITATION {"citationID":"MdGyvvFe","properties":{"formattedCitation":"Leila Abboud, Roula Khalaf and Ben Hall, \\uc0\\u8216{}Europe Must Respond to Trump \\uc0\\u8220{}Electroshock\\uc0\\u8221{}, Says Macron\\uc0\\u8217{} {\\i{}Financial Times} (14 February 2025) &lt;https://www.ft.com/content/1ee43b51-9d3a-47d2-adf6-3315c38e1c38&gt; accessed 25 February 2025.","plainCitation":"Leila Abboud, Roula Khalaf and Ben Hall, ‘Europe Must Respond to Trump “Electroshock”, Says Macron’ Financial Times (14 February 2025) &lt;https://www.ft.com/content/1ee43b51-9d3a-47d2-adf6-3315c38e1c38&gt; accessed 25 February 2025.","noteIndex":10},"citationItems":[{"id":3574,"uris":["http://zotero.org/users/7352693/items/Z7G5YRIW"],"itemData":{"id":3574,"type":"article-newspaper","container-title":"Financial Times","title":"Europe must respond to Trump ‘electroshock’, says Macron","URL":"https://www.ft.com/content/1ee43b51-9d3a-47d2-adf6-3315c38e1c38","author":[{"family":"Abboud","given":"Leila"},{"family":"Khalaf","given":"Roula"},{"family":"Hall","given":"Ben"}],"accessed":{"date-parts":[["2025",2,25]]},"issued":{"date-parts":[["2025",2,14]]},"citation-key":"abboudEuropeMustRespond2025"}}],"schema":"https://github.com/citation-style-language/schema/raw/master/csl-citation.json"} </w:instrText>
      </w:r>
      <w:r>
        <w:fldChar w:fldCharType="separate"/>
      </w:r>
      <w:r w:rsidR="00832B19" w:rsidRPr="00832B19">
        <w:rPr>
          <w:rFonts w:cs="Times New Roman"/>
          <w:kern w:val="0"/>
        </w:rPr>
        <w:t xml:space="preserve">Leila Abboud, Roula Khalaf and Ben Hall, ‘Europe Must Respond to Trump “Electroshock”, Says Macron’ </w:t>
      </w:r>
      <w:r w:rsidR="00832B19" w:rsidRPr="00832B19">
        <w:rPr>
          <w:rFonts w:cs="Times New Roman"/>
          <w:i/>
          <w:iCs/>
          <w:kern w:val="0"/>
        </w:rPr>
        <w:t>Financial Times</w:t>
      </w:r>
      <w:r w:rsidR="00832B19" w:rsidRPr="00832B19">
        <w:rPr>
          <w:rFonts w:cs="Times New Roman"/>
          <w:kern w:val="0"/>
        </w:rPr>
        <w:t xml:space="preserve"> (14 February 2025) &lt;https://www.ft.com/content/1ee43b51-9d3a-47d2-adf6-3315c38e1c38&gt; accessed 25 February 2025.</w:t>
      </w:r>
      <w:r>
        <w:fldChar w:fldCharType="end"/>
      </w:r>
    </w:p>
  </w:footnote>
  <w:footnote w:id="11">
    <w:p w14:paraId="7C97AD7F" w14:textId="6E41B10D" w:rsidR="00B80C63" w:rsidRDefault="00B80C63">
      <w:pPr>
        <w:pStyle w:val="FootnoteText"/>
      </w:pPr>
      <w:r w:rsidRPr="001C4185">
        <w:rPr>
          <w:rStyle w:val="FootnoteReference"/>
        </w:rPr>
        <w:footnoteRef/>
      </w:r>
      <w:r>
        <w:t xml:space="preserve"> </w:t>
      </w:r>
      <w:r>
        <w:fldChar w:fldCharType="begin"/>
      </w:r>
      <w:r w:rsidR="00BB00B9">
        <w:instrText xml:space="preserve"> ADDIN ZOTERO_ITEM CSL_CITATION {"citationID":"1GxlNjuN","properties":{"formattedCitation":"\\uc0\\u8216{}Make Britain a Clean Energy Superpower\\uc0\\u8217{} ({\\i{}The Labour Party}) &lt;https://labour.org.uk/change/make-britain-a-clean-energy-superpower/&gt; accessed 12 February 2025.","plainCitation":"‘Make Britain a Clean Energy Superpower’ (The Labour Party) &lt;https://labour.org.uk/change/make-britain-a-clean-energy-superpower/&gt; accessed 12 February 2025.","noteIndex":11},"citationItems":[{"id":3590,"uris":["http://zotero.org/users/7352693/items/JTJGM2FN"],"itemData":{"id":3590,"type":"webpage","abstract":"Make Britain a clean energy superpower How Labour will make Britain a clean energy superpower: Skip to: The climate and nature crisis is the greatest long-term global challenge that we face. The clean energy transition represents a huge opportunity to generate growth, tackle the cost-of-living crisis and make Britain energy independent once again. That is […]","container-title":"The Labour Party","language":"en-GB","title":"Make Britain a clean energy superpower","URL":"https://labour.org.uk/change/make-britain-a-clean-energy-superpower/","accessed":{"date-parts":[["2025",2,12]]},"citation-key":"MakeBritainClean"}}],"schema":"https://github.com/citation-style-language/schema/raw/master/csl-citation.json"} </w:instrText>
      </w:r>
      <w:r>
        <w:fldChar w:fldCharType="separate"/>
      </w:r>
      <w:r w:rsidR="00C221C8" w:rsidRPr="00C221C8">
        <w:rPr>
          <w:rFonts w:cs="Times New Roman"/>
          <w:kern w:val="0"/>
        </w:rPr>
        <w:t>‘Make Britain a Clean Energy Superpower’ (</w:t>
      </w:r>
      <w:r w:rsidR="00C221C8" w:rsidRPr="00C221C8">
        <w:rPr>
          <w:rFonts w:cs="Times New Roman"/>
          <w:i/>
          <w:iCs/>
          <w:kern w:val="0"/>
        </w:rPr>
        <w:t>The Labour Party</w:t>
      </w:r>
      <w:r w:rsidR="00C221C8" w:rsidRPr="00C221C8">
        <w:rPr>
          <w:rFonts w:cs="Times New Roman"/>
          <w:kern w:val="0"/>
        </w:rPr>
        <w:t>) &lt;https://labour.org.uk/change/make-britain-a-clean-energy-superpower/&gt; accessed 12 February 2025.</w:t>
      </w:r>
      <w:r>
        <w:fldChar w:fldCharType="end"/>
      </w:r>
    </w:p>
  </w:footnote>
  <w:footnote w:id="12">
    <w:p w14:paraId="5E7F816E" w14:textId="67B9E1B5" w:rsidR="009C799D" w:rsidRDefault="009C799D">
      <w:pPr>
        <w:pStyle w:val="FootnoteText"/>
      </w:pPr>
      <w:r w:rsidRPr="001C4185">
        <w:rPr>
          <w:rStyle w:val="FootnoteReference"/>
        </w:rPr>
        <w:footnoteRef/>
      </w:r>
      <w:r>
        <w:t xml:space="preserve"> </w:t>
      </w:r>
      <w:r>
        <w:fldChar w:fldCharType="begin"/>
      </w:r>
      <w:r w:rsidR="006E0EC7">
        <w:instrText xml:space="preserve"> ADDIN ZOTERO_ITEM CSL_CITATION {"citationID":"X16WVfSI","properties":{"formattedCitation":"Anna Gross, Jim Pickard and Rachel Millard, \\uc0\\u8216{}Britain\\uc0\\u8217{}s Political Consensus on Climate Starts to Fracture\\uc0\\u8217{} {\\i{}Financial Times} (24 November 2024) &lt;https://www.ft.com/content/ab0cb3fc-e45d-454b-83d9-c0284550aafe&gt; accessed 25 February 2025.","plainCitation":"Anna Gross, Jim Pickard and Rachel Millard, ‘Britain’s Political Consensus on Climate Starts to Fracture’ Financial Times (24 November 2024) &lt;https://www.ft.com/content/ab0cb3fc-e45d-454b-83d9-c0284550aafe&gt; accessed 25 February 2025.","noteIndex":12},"citationItems":[{"id":3575,"uris":["http://zotero.org/users/7352693/items/HXKS2IDS"],"itemData":{"id":3575,"type":"article-newspaper","container-title":"Financial Times","title":"Britain’s political consensus on climate starts to fracture","URL":"https://www.ft.com/content/ab0cb3fc-e45d-454b-83d9-c0284550aafe","author":[{"family":"Gross","given":"Anna"},{"family":"Pickard","given":"Jim"},{"family":"Millard","given":"Rachel"}],"accessed":{"date-parts":[["2025",2,25]]},"issued":{"date-parts":[["2024",11,24]]},"citation-key":"grossBritainsPoliticalConsensus2024"}}],"schema":"https://github.com/citation-style-language/schema/raw/master/csl-citation.json"} </w:instrText>
      </w:r>
      <w:r>
        <w:fldChar w:fldCharType="separate"/>
      </w:r>
      <w:r w:rsidR="006E0EC7" w:rsidRPr="006E0EC7">
        <w:rPr>
          <w:rFonts w:cs="Times New Roman"/>
          <w:kern w:val="0"/>
        </w:rPr>
        <w:t xml:space="preserve">Anna Gross, Jim Pickard and Rachel Millard, ‘Britain’s Political Consensus on Climate Starts to Fracture’ </w:t>
      </w:r>
      <w:r w:rsidR="006E0EC7" w:rsidRPr="006E0EC7">
        <w:rPr>
          <w:rFonts w:cs="Times New Roman"/>
          <w:i/>
          <w:iCs/>
          <w:kern w:val="0"/>
        </w:rPr>
        <w:t>Financial Times</w:t>
      </w:r>
      <w:r w:rsidR="006E0EC7" w:rsidRPr="006E0EC7">
        <w:rPr>
          <w:rFonts w:cs="Times New Roman"/>
          <w:kern w:val="0"/>
        </w:rPr>
        <w:t xml:space="preserve"> (24 November 2024) &lt;https://www.ft.com/content/ab0cb3fc-e45d-454b-83d9-c0284550aafe&gt; accessed 25 February 2025.</w:t>
      </w:r>
      <w:r>
        <w:fldChar w:fldCharType="end"/>
      </w:r>
    </w:p>
  </w:footnote>
  <w:footnote w:id="13">
    <w:p w14:paraId="48192F08" w14:textId="3F21ED72" w:rsidR="00A44B60" w:rsidRDefault="00A44B60">
      <w:pPr>
        <w:pStyle w:val="FootnoteText"/>
      </w:pPr>
      <w:r w:rsidRPr="001C4185">
        <w:rPr>
          <w:rStyle w:val="FootnoteReference"/>
        </w:rPr>
        <w:footnoteRef/>
      </w:r>
      <w:r>
        <w:t xml:space="preserve"> </w:t>
      </w:r>
      <w:r>
        <w:fldChar w:fldCharType="begin"/>
      </w:r>
      <w:r w:rsidR="00BB00B9">
        <w:instrText xml:space="preserve"> ADDIN ZOTERO_ITEM CSL_CITATION {"citationID":"BjZz381P","properties":{"formattedCitation":"\\uc0\\u8216{}Can a Tiny Hedge Fund Push ExxonMobil Towards Sustainability?\\uc0\\u8217{} &lt;https://hbr.org/2021/01/can-a-tiny-hedge-fund-push-exxonmobile-towards-sustainability&gt; accessed 14 February 2025.","plainCitation":"‘Can a Tiny Hedge Fund Push ExxonMobil Towards Sustainability?’ &lt;https://hbr.org/2021/01/can-a-tiny-hedge-fund-push-exxonmobile-towards-sustainability&gt; accessed 14 February 2025.","noteIndex":13},"citationItems":[{"id":3577,"uris":["http://zotero.org/users/7352693/items/6P357G5Z"],"itemData":{"id":3577,"type":"webpage","title":"Can a Tiny Hedge Fund Push ExxonMobil Towards Sustainability?","URL":"https://hbr.org/2021/01/can-a-tiny-hedge-fund-push-exxonmobile-towards-sustainability","accessed":{"date-parts":[["2025",2,14]]},"citation-key":"CanTinyHedge"}}],"schema":"https://github.com/citation-style-language/schema/raw/master/csl-citation.json"} </w:instrText>
      </w:r>
      <w:r>
        <w:fldChar w:fldCharType="separate"/>
      </w:r>
      <w:r w:rsidRPr="00A44B60">
        <w:rPr>
          <w:rFonts w:cs="Times New Roman"/>
          <w:kern w:val="0"/>
        </w:rPr>
        <w:t>‘Can a Tiny Hedge Fund Push ExxonMobil Towards Sustainability?’ &lt;https://hbr.org/2021/01/can-a-tiny-hedge-fund-push-exxonmobile-towards-sustainability&gt; accessed 14 February 2025.</w:t>
      </w:r>
      <w:r>
        <w:fldChar w:fldCharType="end"/>
      </w:r>
    </w:p>
  </w:footnote>
  <w:footnote w:id="14">
    <w:p w14:paraId="661ED9EB" w14:textId="675A2CC0" w:rsidR="00C213C1" w:rsidRDefault="00C213C1">
      <w:pPr>
        <w:pStyle w:val="FootnoteText"/>
      </w:pPr>
      <w:r w:rsidRPr="001C4185">
        <w:rPr>
          <w:rStyle w:val="FootnoteReference"/>
        </w:rPr>
        <w:footnoteRef/>
      </w:r>
      <w:r>
        <w:t xml:space="preserve"> </w:t>
      </w:r>
      <w:r>
        <w:fldChar w:fldCharType="begin"/>
      </w:r>
      <w:r w:rsidR="00F968D0">
        <w:instrText xml:space="preserve"> ADDIN ZOTERO_ITEM CSL_CITATION {"citationID":"upnizBmw","properties":{"formattedCitation":"Brooke Masters and Patrick Temple-West, \\uc0\\u8216{}The Real Impact of the ESG Backlash\\uc0\\u8217{} {\\i{}Financial Times} (4 December 2023) &lt;https://www.ft.com/content/a76c7feb-7fa5-43d6-8e20-b4e4967991e7&gt; accessed 25 February 2025.","plainCitation":"Brooke Masters and Patrick Temple-West, ‘The Real Impact of the ESG Backlash’ Financial Times (4 December 2023) &lt;https://www.ft.com/content/a76c7feb-7fa5-43d6-8e20-b4e4967991e7&gt; accessed 25 February 2025.","noteIndex":14},"citationItems":[{"id":3576,"uris":["http://zotero.org/users/7352693/items/57U7WJZY"],"itemData":{"id":3576,"type":"article-newspaper","container-title":"Financial Times","title":"The real impact of the ESG backlash","URL":"https://www.ft.com/content/a76c7feb-7fa5-43d6-8e20-b4e4967991e7","author":[{"family":"Masters","given":"Brooke"},{"family":"Temple-West","given":"Patrick"}],"accessed":{"date-parts":[["2025",2,25]]},"issued":{"date-parts":[["2023",12,4]]},"citation-key":"mastersRealImpactESG2023"}}],"schema":"https://github.com/citation-style-language/schema/raw/master/csl-citation.json"} </w:instrText>
      </w:r>
      <w:r>
        <w:fldChar w:fldCharType="separate"/>
      </w:r>
      <w:r w:rsidR="00F968D0" w:rsidRPr="00F968D0">
        <w:rPr>
          <w:rFonts w:cs="Times New Roman"/>
          <w:kern w:val="0"/>
        </w:rPr>
        <w:t xml:space="preserve">Brooke Masters and Patrick Temple-West, ‘The Real Impact of the ESG Backlash’ </w:t>
      </w:r>
      <w:r w:rsidR="00F968D0" w:rsidRPr="00F968D0">
        <w:rPr>
          <w:rFonts w:cs="Times New Roman"/>
          <w:i/>
          <w:iCs/>
          <w:kern w:val="0"/>
        </w:rPr>
        <w:t>Financial Times</w:t>
      </w:r>
      <w:r w:rsidR="00F968D0" w:rsidRPr="00F968D0">
        <w:rPr>
          <w:rFonts w:cs="Times New Roman"/>
          <w:kern w:val="0"/>
        </w:rPr>
        <w:t xml:space="preserve"> (4 December 2023) &lt;https://www.ft.com/content/a76c7feb-7fa5-43d6-8e20-b4e4967991e7&gt; accessed 25 February 2025.</w:t>
      </w:r>
      <w:r>
        <w:fldChar w:fldCharType="end"/>
      </w:r>
    </w:p>
  </w:footnote>
  <w:footnote w:id="15">
    <w:p w14:paraId="6237D093" w14:textId="08EF8F3A" w:rsidR="00E11473" w:rsidRDefault="00E11473">
      <w:pPr>
        <w:pStyle w:val="FootnoteText"/>
      </w:pPr>
      <w:r w:rsidRPr="001C4185">
        <w:rPr>
          <w:rStyle w:val="FootnoteReference"/>
        </w:rPr>
        <w:footnoteRef/>
      </w:r>
      <w:r>
        <w:t xml:space="preserve"> </w:t>
      </w:r>
      <w:r>
        <w:fldChar w:fldCharType="begin"/>
      </w:r>
      <w:r w:rsidR="00BB00B9">
        <w:instrText xml:space="preserve"> ADDIN ZOTERO_ITEM CSL_CITATION {"citationID":"YHzOauX3","properties":{"formattedCitation":"Silvia Amaro, \\uc0\\u8216{}Blackrock\\uc0\\u8217{}s Former Sustainable Investing Chief Now Thinks ESG Is a \\uc0\\u8220{}Dangerous Placebo\\uc0\\u8221{}\\uc0\\u8217{} ({\\i{}CNBC}, 24 August 2021) &lt;https://www.cnbc.com/2021/08/24/blackrocks-former-sustainable-investing-chief-says-esg-is-a-dangerous-placebo.html&gt; accessed 12 February 2025.","plainCitation":"Silvia Amaro, ‘Blackrock’s Former Sustainable Investing Chief Now Thinks ESG Is a “Dangerous Placebo”’ (CNBC, 24 August 2021) &lt;https://www.cnbc.com/2021/08/24/blackrocks-former-sustainable-investing-chief-says-esg-is-a-dangerous-placebo.html&gt; accessed 12 February 2025.","noteIndex":15},"citationItems":[{"id":3592,"uris":["http://zotero.org/users/7352693/items/GXY6XMLX"],"itemData":{"id":3592,"type":"webpage","abstract":"Tariq Fancy, BlackRock's first global chief investment officer for sustainable investing, warned that there were some fallacies associated with ESG investing.","container-title":"CNBC","language":"en","note":"section: Sustainable Future","title":"Blackrock's former sustainable investing chief now thinks ESG is a 'dangerous placebo'","URL":"https://www.cnbc.com/2021/08/24/blackrocks-former-sustainable-investing-chief-says-esg-is-a-dangerous-placebo.html","author":[{"family":"Amaro","given":"Silvia"}],"accessed":{"date-parts":[["2025",2,12]]},"issued":{"date-parts":[["2021",8,24]]},"citation-key":"amaroBlackrocksFormerSustainable2021"}}],"schema":"https://github.com/citation-style-language/schema/raw/master/csl-citation.json"} </w:instrText>
      </w:r>
      <w:r>
        <w:fldChar w:fldCharType="separate"/>
      </w:r>
      <w:r w:rsidR="00C221C8" w:rsidRPr="00C221C8">
        <w:rPr>
          <w:rFonts w:cs="Times New Roman"/>
          <w:kern w:val="0"/>
        </w:rPr>
        <w:t>Silvia Amaro, ‘Blackrock’s Former Sustainable Investing Chief Now Thinks ESG Is a “Dangerous Placebo”’ (</w:t>
      </w:r>
      <w:r w:rsidR="00C221C8" w:rsidRPr="00C221C8">
        <w:rPr>
          <w:rFonts w:cs="Times New Roman"/>
          <w:i/>
          <w:iCs/>
          <w:kern w:val="0"/>
        </w:rPr>
        <w:t>CNBC</w:t>
      </w:r>
      <w:r w:rsidR="00C221C8" w:rsidRPr="00C221C8">
        <w:rPr>
          <w:rFonts w:cs="Times New Roman"/>
          <w:kern w:val="0"/>
        </w:rPr>
        <w:t>, 24 August 2021) &lt;https://www.cnbc.com/2021/08/24/blackrocks-former-sustainable-investing-chief-says-esg-is-a-dangerous-placebo.html&gt; accessed 12 February 2025.</w:t>
      </w:r>
      <w:r>
        <w:fldChar w:fldCharType="end"/>
      </w:r>
    </w:p>
  </w:footnote>
  <w:footnote w:id="16">
    <w:p w14:paraId="1A991A98" w14:textId="7A0B825A" w:rsidR="00FD23CE" w:rsidRDefault="00FD23CE" w:rsidP="00FD23CE">
      <w:pPr>
        <w:pStyle w:val="FootnoteText"/>
      </w:pPr>
      <w:r w:rsidRPr="001C4185">
        <w:rPr>
          <w:rStyle w:val="FootnoteReference"/>
        </w:rPr>
        <w:footnoteRef/>
      </w:r>
      <w:r>
        <w:t xml:space="preserve"> </w:t>
      </w:r>
      <w:r>
        <w:fldChar w:fldCharType="begin"/>
      </w:r>
      <w:r w:rsidR="00BB00B9">
        <w:instrText xml:space="preserve"> ADDIN ZOTERO_ITEM CSL_CITATION {"citationID":"oSBwjmTP","properties":{"formattedCitation":"Ortenca Aliaj and Derek Brower, \\uc0\\u8216{}Exxon Nemesis Engine No. 1 Drops Activism in Hunt for New Identity\\uc0\\u8217{} {\\i{}Financial Times} (9 August 2023) &lt;https://www.ft.com/content/dc94222a-e6d9-43fa-aada-51e45c6d6ad0&gt; accessed 12 February 2025.","plainCitation":"Ortenca Aliaj and Derek Brower, ‘Exxon Nemesis Engine No. 1 Drops Activism in Hunt for New Identity’ Financial Times (9 August 2023) &lt;https://www.ft.com/content/dc94222a-e6d9-43fa-aada-51e45c6d6ad0&gt; accessed 12 February 2025.","noteIndex":16},"citationItems":[{"id":3588,"uris":["http://zotero.org/users/7352693/items/BIBLALYR"],"itemData":{"id":3588,"type":"article-newspaper","abstract":"Firm ditches ETF business and takes stake in miner Vale two years after winning proxy battle","container-title":"Financial Times","section":"Investor activism","title":"Exxon nemesis Engine No. 1 drops activism in hunt for new identity","URL":"https://www.ft.com/content/dc94222a-e6d9-43fa-aada-51e45c6d6ad0","author":[{"family":"Aliaj","given":"Ortenca"},{"family":"Brower","given":"Derek"}],"accessed":{"date-parts":[["2025",2,12]]},"issued":{"date-parts":[["2023",8,9]]},"citation-key":"aliajExxonNemesisEngine2023"}}],"schema":"https://github.com/citation-style-language/schema/raw/master/csl-citation.json"} </w:instrText>
      </w:r>
      <w:r>
        <w:fldChar w:fldCharType="separate"/>
      </w:r>
      <w:r w:rsidR="00C221C8" w:rsidRPr="00C221C8">
        <w:rPr>
          <w:rFonts w:cs="Times New Roman"/>
          <w:kern w:val="0"/>
        </w:rPr>
        <w:t xml:space="preserve">Ortenca Aliaj and Derek Brower, ‘Exxon Nemesis Engine No. 1 Drops Activism in Hunt for New Identity’ </w:t>
      </w:r>
      <w:r w:rsidR="00C221C8" w:rsidRPr="00C221C8">
        <w:rPr>
          <w:rFonts w:cs="Times New Roman"/>
          <w:i/>
          <w:iCs/>
          <w:kern w:val="0"/>
        </w:rPr>
        <w:t>Financial Times</w:t>
      </w:r>
      <w:r w:rsidR="00C221C8" w:rsidRPr="00C221C8">
        <w:rPr>
          <w:rFonts w:cs="Times New Roman"/>
          <w:kern w:val="0"/>
        </w:rPr>
        <w:t xml:space="preserve"> (9 August 2023) &lt;https://www.ft.com/content/dc94222a-e6d9-43fa-aada-51e45c6d6ad0&gt; accessed 12 February 2025.</w:t>
      </w:r>
      <w:r>
        <w:fldChar w:fldCharType="end"/>
      </w:r>
    </w:p>
  </w:footnote>
  <w:footnote w:id="17">
    <w:p w14:paraId="0B3222A8" w14:textId="3902809A" w:rsidR="007D4EA0" w:rsidRDefault="007D4EA0">
      <w:pPr>
        <w:pStyle w:val="FootnoteText"/>
      </w:pPr>
      <w:r w:rsidRPr="001C4185">
        <w:rPr>
          <w:rStyle w:val="FootnoteReference"/>
        </w:rPr>
        <w:footnoteRef/>
      </w:r>
      <w:r>
        <w:t xml:space="preserve"> </w:t>
      </w:r>
      <w:r>
        <w:fldChar w:fldCharType="begin"/>
      </w:r>
      <w:r w:rsidR="00BB00B9">
        <w:instrText xml:space="preserve"> ADDIN ZOTERO_ITEM CSL_CITATION {"citationID":"zVsXcM9d","properties":{"formattedCitation":"Michael Posner, \\uc0\\u8216{}How BlackRock Abandoned Social And Environmental Engagement\\uc0\\u8217{} ({\\i{}Forbes}, 9 September 2024) &lt;https://www.forbes.com/sites/michaelposner/2024/09/04/how-blackrock-abandoned-social-and-environmental-engagement/&gt; accessed 12 February 2025.","plainCitation":"Michael Posner, ‘How BlackRock Abandoned Social And Environmental Engagement’ (Forbes, 9 September 2024) &lt;https://www.forbes.com/sites/michaelposner/2024/09/04/how-blackrock-abandoned-social-and-environmental-engagement/&gt; accessed 12 February 2025.","noteIndex":17},"citationItems":[{"id":3594,"uris":["http://zotero.org/users/7352693/items/GPCQ6DQ8"],"itemData":{"id":3594,"type":"webpage","abstract":"In August, BlackRock cut support for ESG proposals to 4%, down from 47% in 2021, amid pressure from conservative politicians and laws against ESG investing.","container-title":"Forbes","language":"en","note":"section: Leadership Strategy","title":"How BlackRock Abandoned Social And Environmental Engagement","URL":"https://www.forbes.com/sites/michaelposner/2024/09/04/how-blackrock-abandoned-social-and-environmental-engagement/","author":[{"family":"Posner","given":"Michael"}],"accessed":{"date-parts":[["2025",2,12]]},"issued":{"date-parts":[["2024",9,9]]},"citation-key":"posnerHowBlackRockAbandoned2024"}}],"schema":"https://github.com/citation-style-language/schema/raw/master/csl-citation.json"} </w:instrText>
      </w:r>
      <w:r>
        <w:fldChar w:fldCharType="separate"/>
      </w:r>
      <w:r w:rsidR="00C221C8" w:rsidRPr="00C221C8">
        <w:rPr>
          <w:rFonts w:cs="Times New Roman"/>
          <w:kern w:val="0"/>
        </w:rPr>
        <w:t>Michael Posner, ‘How BlackRock Abandoned Social And Environmental Engagement’ (</w:t>
      </w:r>
      <w:r w:rsidR="00C221C8" w:rsidRPr="00C221C8">
        <w:rPr>
          <w:rFonts w:cs="Times New Roman"/>
          <w:i/>
          <w:iCs/>
          <w:kern w:val="0"/>
        </w:rPr>
        <w:t>Forbes</w:t>
      </w:r>
      <w:r w:rsidR="00C221C8" w:rsidRPr="00C221C8">
        <w:rPr>
          <w:rFonts w:cs="Times New Roman"/>
          <w:kern w:val="0"/>
        </w:rPr>
        <w:t>, 9 September 2024) &lt;https://www.forbes.com/sites/michaelposner/2024/09/04/how-blackrock-abandoned-social-and-environmental-engagement/&gt; accessed 12 February 2025.</w:t>
      </w:r>
      <w:r>
        <w:fldChar w:fldCharType="end"/>
      </w:r>
    </w:p>
  </w:footnote>
  <w:footnote w:id="18">
    <w:p w14:paraId="59221DCC" w14:textId="1187E5D6" w:rsidR="00A17E64" w:rsidRPr="005E35D7" w:rsidRDefault="00A17E64">
      <w:pPr>
        <w:pStyle w:val="FootnoteText"/>
      </w:pPr>
      <w:r>
        <w:rPr>
          <w:rStyle w:val="FootnoteReference"/>
        </w:rPr>
        <w:footnoteRef/>
      </w:r>
      <w:r>
        <w:t xml:space="preserve"> ShareAction</w:t>
      </w:r>
      <w:r w:rsidR="00D833EC">
        <w:t xml:space="preserve">, </w:t>
      </w:r>
      <w:r w:rsidR="00D833EC">
        <w:rPr>
          <w:i/>
          <w:iCs/>
        </w:rPr>
        <w:t xml:space="preserve">Voting Matters 2024: Are asset managers using their proxy votes for action on </w:t>
      </w:r>
      <w:r w:rsidR="005E35D7">
        <w:rPr>
          <w:i/>
          <w:iCs/>
        </w:rPr>
        <w:t>environmental and social issues</w:t>
      </w:r>
      <w:r w:rsidR="005E35D7">
        <w:t xml:space="preserve"> (</w:t>
      </w:r>
      <w:r w:rsidR="00687579">
        <w:t xml:space="preserve">18 </w:t>
      </w:r>
      <w:r w:rsidR="005E35D7">
        <w:t>February 2025)</w:t>
      </w:r>
      <w:r w:rsidR="00687579">
        <w:t xml:space="preserve"> </w:t>
      </w:r>
      <w:r w:rsidR="00A463A2">
        <w:t>&lt;</w:t>
      </w:r>
      <w:r w:rsidR="00A463A2" w:rsidRPr="00A463A2">
        <w:t>https://shareaction.org/reports/voting-matters-2024</w:t>
      </w:r>
      <w:r w:rsidR="00687579">
        <w:t>&gt; accessed 25 February</w:t>
      </w:r>
      <w:r w:rsidR="005E35D7">
        <w:t>.</w:t>
      </w:r>
    </w:p>
  </w:footnote>
  <w:footnote w:id="19">
    <w:p w14:paraId="32678676" w14:textId="39CDD068" w:rsidR="00CD7B88" w:rsidRDefault="00CD7B88">
      <w:pPr>
        <w:pStyle w:val="FootnoteText"/>
      </w:pPr>
      <w:r w:rsidRPr="001C4185">
        <w:rPr>
          <w:rStyle w:val="FootnoteReference"/>
        </w:rPr>
        <w:footnoteRef/>
      </w:r>
      <w:r>
        <w:t xml:space="preserve"> </w:t>
      </w:r>
      <w:r w:rsidRPr="00CD7B88">
        <w:t>[2023] EWHC 1137 (Ch)</w:t>
      </w:r>
      <w:r w:rsidR="00D502C5">
        <w:t>.</w:t>
      </w:r>
    </w:p>
  </w:footnote>
  <w:footnote w:id="20">
    <w:p w14:paraId="0FEC9F17" w14:textId="06A3179F" w:rsidR="00CD7B88" w:rsidRDefault="00CD7B88">
      <w:pPr>
        <w:pStyle w:val="FootnoteText"/>
      </w:pPr>
      <w:r w:rsidRPr="001C4185">
        <w:rPr>
          <w:rStyle w:val="FootnoteReference"/>
        </w:rPr>
        <w:footnoteRef/>
      </w:r>
      <w:r>
        <w:t xml:space="preserve"> </w:t>
      </w:r>
      <w:r w:rsidR="00D502C5" w:rsidRPr="00D502C5">
        <w:t>[2023] EWCA Civ 873</w:t>
      </w:r>
      <w:r w:rsidR="00D502C5">
        <w:t>.</w:t>
      </w:r>
    </w:p>
  </w:footnote>
  <w:footnote w:id="21">
    <w:p w14:paraId="192C9B8C" w14:textId="6ECBD9E7" w:rsidR="001B1F48" w:rsidRDefault="001B1F48">
      <w:pPr>
        <w:pStyle w:val="FootnoteText"/>
      </w:pPr>
      <w:r w:rsidRPr="001C4185">
        <w:rPr>
          <w:rStyle w:val="FootnoteReference"/>
        </w:rPr>
        <w:footnoteRef/>
      </w:r>
      <w:r>
        <w:t xml:space="preserve"> </w:t>
      </w:r>
      <w:r w:rsidR="00107315">
        <w:t xml:space="preserve">Paraphrased from </w:t>
      </w:r>
      <w:r w:rsidR="001B446B" w:rsidRPr="001B446B">
        <w:t xml:space="preserve">Adam Smith, </w:t>
      </w:r>
      <w:r w:rsidR="001B446B" w:rsidRPr="001B446B">
        <w:rPr>
          <w:i/>
          <w:iCs/>
        </w:rPr>
        <w:t>An Inquiry into the Nature and Causes of the Wealth of Nations</w:t>
      </w:r>
      <w:r w:rsidR="001B446B" w:rsidRPr="001B446B">
        <w:t xml:space="preserve"> (1776, Roy H Campbell and Andrew S Skinner eds, W B Todd textual ed, 2 vols, Clarendon 1976)</w:t>
      </w:r>
      <w:r w:rsidR="001B446B">
        <w:t xml:space="preserve"> </w:t>
      </w:r>
      <w:r w:rsidR="00C606B8" w:rsidRPr="00C606B8">
        <w:t xml:space="preserve">Book V, </w:t>
      </w:r>
      <w:r w:rsidR="00C606B8">
        <w:t>C</w:t>
      </w:r>
      <w:r w:rsidR="00C606B8" w:rsidRPr="00C606B8">
        <w:t>h 1, §107</w:t>
      </w:r>
      <w:r w:rsidR="00C606B8">
        <w:t>.</w:t>
      </w:r>
    </w:p>
  </w:footnote>
  <w:footnote w:id="22">
    <w:p w14:paraId="5971EF7C" w14:textId="78DC81DD" w:rsidR="0044284D" w:rsidRDefault="0044284D">
      <w:pPr>
        <w:pStyle w:val="FootnoteText"/>
      </w:pPr>
      <w:r w:rsidRPr="001C4185">
        <w:rPr>
          <w:rStyle w:val="FootnoteReference"/>
        </w:rPr>
        <w:footnoteRef/>
      </w:r>
      <w:r>
        <w:t xml:space="preserve"> </w:t>
      </w:r>
      <w:r>
        <w:fldChar w:fldCharType="begin"/>
      </w:r>
      <w:r w:rsidR="00BB00B9">
        <w:instrText xml:space="preserve"> ADDIN ZOTERO_ITEM CSL_CITATION {"citationID":"wtJ6IsUR","properties":{"formattedCitation":"Gary M Anderson and Robert D Tollison, \\uc0\\u8216{}Adam Smith\\uc0\\u8217{}s Analysis of Joint-Stock Companies\\uc0\\u8217{} (1982) 90 Journal of Political Economy 1237.","plainCitation":"Gary M Anderson and Robert D Tollison, ‘Adam Smith’s Analysis of Joint-Stock Companies’ (1982) 90 Journal of Political Economy 1237.","noteIndex":22},"citationItems":[{"id":3559,"uris":["http://zotero.org/users/7352693/items/7E5GLG37"],"itemData":{"id":3559,"type":"article-journal","abstract":"We defend Adam Smith's theory of the firm from the standpoint of positive economics. We argue that his evaluation of the joint-stock firm was not moralistic but instead based on available empirical evidence. The record showed that joint-stock companies had a poor survivorship record, even when granted legal monopoly status. His analysis contained an explanation of the role of agency costs within the firm. Finally, he did not discuss the East India Company as an ordinary joint-stock firm but rather as an aberrant form created by government.","container-title":"Journal of Political Economy","ISSN":"0022-3808","issue":"6","note":"publisher: The University of Chicago Press","page":"1237-1256","source":"JSTOR","title":"Adam Smith's Analysis of Joint-Stock Companies","volume":"90","author":[{"family":"Anderson","given":"Gary M."},{"family":"Tollison","given":"Robert D."}],"issued":{"date-parts":[["1982"]]},"citation-key":"andersonAdamSmithsAnalysis1982"}}],"schema":"https://github.com/citation-style-language/schema/raw/master/csl-citation.json"} </w:instrText>
      </w:r>
      <w:r>
        <w:fldChar w:fldCharType="separate"/>
      </w:r>
      <w:r w:rsidR="002E5819" w:rsidRPr="002E5819">
        <w:rPr>
          <w:rFonts w:cs="Times New Roman"/>
          <w:kern w:val="0"/>
        </w:rPr>
        <w:t>Gary M Anderson and Robert D Tollison, ‘Adam Smith’s Analysis of Joint-Stock Companies’ (1982) 90 Journal of Political Economy 1237.</w:t>
      </w:r>
      <w:r>
        <w:fldChar w:fldCharType="end"/>
      </w:r>
    </w:p>
  </w:footnote>
  <w:footnote w:id="23">
    <w:p w14:paraId="4DF15C8D" w14:textId="0980D966" w:rsidR="00F62A7C" w:rsidRDefault="00F62A7C" w:rsidP="00F62A7C">
      <w:pPr>
        <w:pStyle w:val="FootnoteText"/>
      </w:pPr>
      <w:r w:rsidRPr="001C4185">
        <w:rPr>
          <w:rStyle w:val="FootnoteReference"/>
        </w:rPr>
        <w:footnoteRef/>
      </w:r>
      <w:r>
        <w:t xml:space="preserve"> </w:t>
      </w:r>
      <w:r>
        <w:fldChar w:fldCharType="begin"/>
      </w:r>
      <w:r w:rsidR="00BB00B9">
        <w:instrText xml:space="preserve"> ADDIN ZOTERO_ITEM CSL_CITATION {"citationID":"vyQlnxXu","properties":{"formattedCitation":"Sharif Shivji KC and others, \\uc0\\u8216{}Opinion: Nature-Related Risks and Directors\\uc0\\u8217{} Duties under the Law of England and Wales\\uc0\\u8217{} [42] &lt;https://commonwealthclimatelaw.org/company-directors-should-consider-companys-nature-related-risks-including-climate-risks-landmark-english-law-legal-opinion/&gt; accessed 14 February 2025.","plainCitation":"Sharif Shivji KC and others, ‘Opinion: Nature-Related Risks and Directors’ Duties under the Law of England and Wales’ [42] &lt;https://commonwealthclimatelaw.org/company-directors-should-consider-companys-nature-related-risks-including-climate-risks-landmark-english-law-legal-opinion/&gt; accessed 14 February 2025.","noteIndex":23},"citationItems":[{"id":3491,"uris":["http://zotero.org/users/7352693/items/H342BS2U"],"itemData":{"id":3491,"type":"document","title":"Opinion: Nature-related risks and directors’ duties under the law of England and Wales","URL":"https://commonwealthclimatelaw.org/company-directors-should-consider-companys-nature-related-risks-including-climate-risks-landmark-english-law-legal-opinion/","author":[{"family":"Shivji KC","given":"Sharif"},{"family":"Stubbs KC","given":"Rebecca"},{"family":"Burton","given":"James"},{"family":"Anderson","given":"Karl"},{"family":"Hossein","given":"Sharafi"}],"accessed":{"date-parts":[["2025",2,14]]},"issued":{"date-parts":[["2024",3,11]]},"citation-key":"shivjikcOpinionNaturerelatedRisks2024"},"locator":"[42]","label":"page"}],"schema":"https://github.com/citation-style-language/schema/raw/master/csl-citation.json"} </w:instrText>
      </w:r>
      <w:r>
        <w:fldChar w:fldCharType="separate"/>
      </w:r>
      <w:r w:rsidRPr="00E7264D">
        <w:rPr>
          <w:rFonts w:cs="Times New Roman"/>
          <w:kern w:val="0"/>
        </w:rPr>
        <w:t>Sharif Shivji KC and others, ‘Opinion: Nature-Related Risks and Directors’ Duties under the Law of England and Wales’ [42] &lt;https://commonwealthclimatelaw.org/company-directors-should-consider-companys-nature-related-risks-including-climate-risks-landmark-english-law-legal-opinion/&gt; accessed 14 February 2025.</w:t>
      </w:r>
      <w:r>
        <w:fldChar w:fldCharType="end"/>
      </w:r>
    </w:p>
  </w:footnote>
  <w:footnote w:id="24">
    <w:p w14:paraId="7AD45898" w14:textId="56BF84AC" w:rsidR="00915A9A" w:rsidRDefault="00915A9A">
      <w:pPr>
        <w:pStyle w:val="FootnoteText"/>
      </w:pPr>
      <w:r w:rsidRPr="001C4185">
        <w:rPr>
          <w:rStyle w:val="FootnoteReference"/>
        </w:rPr>
        <w:footnoteRef/>
      </w:r>
      <w:r>
        <w:t xml:space="preserve"> </w:t>
      </w:r>
      <w:r>
        <w:fldChar w:fldCharType="begin"/>
      </w:r>
      <w:r w:rsidR="00CC57D0">
        <w:instrText xml:space="preserve"> ADDIN ZOTERO_ITEM CSL_CITATION {"citationID":"k8ryq8fC","properties":{"formattedCitation":"Mark Arnold KC, \\uc0\\u8216{}General Duties of Directors\\uc0\\u8217{} in Mark Arnold KC and Simon Mortimore KC (eds), {\\i{}Company Directors: Duties, Liabilities, and Remedies} (Oxford University Press 2024) 10.04.","plainCitation":"Mark Arnold KC, ‘General Duties of Directors’ in Mark Arnold KC and Simon Mortimore KC (eds), Company Directors: Duties, Liabilities, and Remedies (Oxford University Press 2024) 10.04.","noteIndex":24},"citationItems":[{"id":3561,"uris":["http://zotero.org/users/7352693/items/2PWXVEPB"],"itemData":{"id":3561,"type":"chapter","abstract":"This chapter looks into the general duties of directors indicated in the Companies Act 2006. The codification of the provision was put in place following the recommendation of the Law Commission and the Scottish Law Commission in their report in 1999. The general duties revolve around several duties such as acting within the power, promoting the company's success, exercising independent judgement, and avoiding conflicts of interest. The chapter clarifies that the general duties apply to directors and de facto directors. It then explains the distinction between the director's fiduciary duties to other types of duties as per the Companies Act.","container-title":"Company Directors: Duties, Liabilities, and Remedies","ISBN":"978-0-19-284287-9","note":"DOI: 10.1093/law/9780192842879.003.0010","page":"0","publisher":"Oxford University Press","source":"Silverchair","title":"General Duties of Directors","author":[{"family":"Arnold KC","given":"Mark"}],"editor":[{"family":"Arnold KC","given":"Mark"},{"family":"Mortimore KC","given":"Simon"}],"issued":{"date-parts":[["2024",1,25]]},"citation-key":"arnoldkcGeneralDutiesDirectors2024"},"locator":"10.04","label":"page"}],"schema":"https://github.com/citation-style-language/schema/raw/master/csl-citation.json"} </w:instrText>
      </w:r>
      <w:r>
        <w:fldChar w:fldCharType="separate"/>
      </w:r>
      <w:r w:rsidR="00CC57D0" w:rsidRPr="00CC57D0">
        <w:rPr>
          <w:rFonts w:cs="Times New Roman"/>
          <w:kern w:val="0"/>
        </w:rPr>
        <w:t xml:space="preserve">Mark Arnold KC, ‘General Duties of Directors’ in Mark Arnold KC and Simon Mortimore KC (eds), </w:t>
      </w:r>
      <w:r w:rsidR="00CC57D0" w:rsidRPr="00CC57D0">
        <w:rPr>
          <w:rFonts w:cs="Times New Roman"/>
          <w:i/>
          <w:iCs/>
          <w:kern w:val="0"/>
        </w:rPr>
        <w:t>Company Directors: Duties, Liabilities, and Remedies</w:t>
      </w:r>
      <w:r w:rsidR="00CC57D0" w:rsidRPr="00CC57D0">
        <w:rPr>
          <w:rFonts w:cs="Times New Roman"/>
          <w:kern w:val="0"/>
        </w:rPr>
        <w:t xml:space="preserve"> (Oxford University Press 2024) 10.04.</w:t>
      </w:r>
      <w:r>
        <w:fldChar w:fldCharType="end"/>
      </w:r>
    </w:p>
  </w:footnote>
  <w:footnote w:id="25">
    <w:p w14:paraId="7B099095" w14:textId="412FD5AB" w:rsidR="00594470" w:rsidRDefault="00594470">
      <w:pPr>
        <w:pStyle w:val="FootnoteText"/>
      </w:pPr>
      <w:r w:rsidRPr="001C4185">
        <w:rPr>
          <w:rStyle w:val="FootnoteReference"/>
        </w:rPr>
        <w:footnoteRef/>
      </w:r>
      <w:r>
        <w:t xml:space="preserve"> </w:t>
      </w:r>
      <w:r w:rsidR="006015B7">
        <w:t>Companies Act 2006, s 171.</w:t>
      </w:r>
    </w:p>
  </w:footnote>
  <w:footnote w:id="26">
    <w:p w14:paraId="19C84BD5" w14:textId="583D6CB0" w:rsidR="006015B7" w:rsidRDefault="006015B7">
      <w:pPr>
        <w:pStyle w:val="FootnoteText"/>
      </w:pPr>
      <w:r w:rsidRPr="001C4185">
        <w:rPr>
          <w:rStyle w:val="FootnoteReference"/>
        </w:rPr>
        <w:footnoteRef/>
      </w:r>
      <w:r>
        <w:t xml:space="preserve"> ibid, s 17</w:t>
      </w:r>
      <w:r w:rsidR="00810D89">
        <w:t xml:space="preserve">5. </w:t>
      </w:r>
    </w:p>
  </w:footnote>
  <w:footnote w:id="27">
    <w:p w14:paraId="524E7025" w14:textId="287084D3" w:rsidR="004503B0" w:rsidRDefault="004503B0">
      <w:pPr>
        <w:pStyle w:val="FootnoteText"/>
      </w:pPr>
      <w:r w:rsidRPr="001C4185">
        <w:rPr>
          <w:rStyle w:val="FootnoteReference"/>
        </w:rPr>
        <w:footnoteRef/>
      </w:r>
      <w:r>
        <w:t xml:space="preserve"> </w:t>
      </w:r>
      <w:r>
        <w:fldChar w:fldCharType="begin"/>
      </w:r>
      <w:r w:rsidR="00BB00B9">
        <w:instrText xml:space="preserve"> ADDIN ZOTERO_ITEM CSL_CITATION {"citationID":"Kj7tivrq","properties":{"formattedCitation":"Ekaterina Aristova and Lionel Nichols, \\uc0\\u8216{}Climate Change on the Board: Navigating Directors\\uc0\\u8217{} Duties\\uc0\\u8217{} [2024] Journal of Corporate Law Studies 1, 4.","plainCitation":"Ekaterina Aristova and Lionel Nichols, ‘Climate Change on the Board: Navigating Directors’ Duties’ [2024] Journal of Corporate Law Studies 1, 4.","noteIndex":27},"citationItems":[{"id":3501,"uris":["http://zotero.org/users/7352693/items/CV4NUJ7A"],"itemData":{"id":3501,"type":"article-journal","container-title":"Journal of Corporate Law Studies","DOI":"10.1080/14735970.2024.2414466","ISSN":"1473-5970, 1757-8426","journalAbbreviation":"Journal of Corporate Law Studies","language":"en","page":"1-36","source":"DOI.org (Crossref)","title":"Climate change on the board: navigating directors’ duties","title-short":"Climate change on the board","author":[{"family":"Aristova","given":"Ekaterina"},{"family":"Nichols","given":"Lionel"}],"issued":{"date-parts":[["2024",10,29]]},"citation-key":"aristovaClimateChangeBoard2024"},"locator":"4","label":"page"}],"schema":"https://github.com/citation-style-language/schema/raw/master/csl-citation.json"} </w:instrText>
      </w:r>
      <w:r>
        <w:fldChar w:fldCharType="separate"/>
      </w:r>
      <w:r w:rsidR="003A0AB8" w:rsidRPr="003A0AB8">
        <w:rPr>
          <w:rFonts w:cs="Times New Roman"/>
          <w:kern w:val="0"/>
        </w:rPr>
        <w:t>Ekaterina Aristova and Lionel Nichols, ‘Climate Change on the Board: Navigating Directors’ Duties’ [2024] Journal of Corporate Law Studies 1, 4.</w:t>
      </w:r>
      <w:r>
        <w:fldChar w:fldCharType="end"/>
      </w:r>
    </w:p>
  </w:footnote>
  <w:footnote w:id="28">
    <w:p w14:paraId="3486FE54" w14:textId="3D85A01F" w:rsidR="00C72E49" w:rsidRDefault="00C72E49">
      <w:pPr>
        <w:pStyle w:val="FootnoteText"/>
      </w:pPr>
      <w:r w:rsidRPr="001C4185">
        <w:rPr>
          <w:rStyle w:val="FootnoteReference"/>
        </w:rPr>
        <w:footnoteRef/>
      </w:r>
      <w:r w:rsidR="001F520B">
        <w:t xml:space="preserve"> </w:t>
      </w:r>
      <w:r w:rsidRPr="00C72E49">
        <w:t>[1942] Ch 304</w:t>
      </w:r>
      <w:r w:rsidR="00385B0D">
        <w:t>,</w:t>
      </w:r>
      <w:r w:rsidRPr="00C72E49">
        <w:t xml:space="preserve"> 306</w:t>
      </w:r>
      <w:r w:rsidR="00341C71">
        <w:t>.</w:t>
      </w:r>
    </w:p>
  </w:footnote>
  <w:footnote w:id="29">
    <w:p w14:paraId="323A180E" w14:textId="235CB456" w:rsidR="0094641C" w:rsidRDefault="0094641C">
      <w:pPr>
        <w:pStyle w:val="FootnoteText"/>
      </w:pPr>
      <w:r w:rsidRPr="001C4185">
        <w:rPr>
          <w:rStyle w:val="FootnoteReference"/>
        </w:rPr>
        <w:footnoteRef/>
      </w:r>
      <w:r>
        <w:t xml:space="preserve"> </w:t>
      </w:r>
      <w:r w:rsidRPr="001E766D">
        <w:rPr>
          <w:i/>
          <w:iCs/>
        </w:rPr>
        <w:t>Regentcrest plc v Cohen</w:t>
      </w:r>
      <w:r w:rsidRPr="0094641C">
        <w:t xml:space="preserve"> [2001] BCC 494</w:t>
      </w:r>
      <w:r w:rsidR="00341C71">
        <w:t xml:space="preserve"> [120]</w:t>
      </w:r>
      <w:r w:rsidRPr="0094641C">
        <w:t xml:space="preserve"> </w:t>
      </w:r>
      <w:r w:rsidR="00341C71">
        <w:t>(</w:t>
      </w:r>
      <w:r w:rsidRPr="0094641C">
        <w:t>Parker J</w:t>
      </w:r>
      <w:r w:rsidR="00341C71">
        <w:t>).</w:t>
      </w:r>
    </w:p>
  </w:footnote>
  <w:footnote w:id="30">
    <w:p w14:paraId="20EB9D96" w14:textId="0E89DC47" w:rsidR="00513394" w:rsidRDefault="00513394">
      <w:pPr>
        <w:pStyle w:val="FootnoteText"/>
      </w:pPr>
      <w:r w:rsidRPr="001C4185">
        <w:rPr>
          <w:rStyle w:val="FootnoteReference"/>
        </w:rPr>
        <w:footnoteRef/>
      </w:r>
      <w:r>
        <w:t xml:space="preserve"> </w:t>
      </w:r>
      <w:r w:rsidRPr="00267655">
        <w:rPr>
          <w:i/>
          <w:iCs/>
        </w:rPr>
        <w:t>Charterbridge Corp Ltd v Lloyds Bank Ltd [</w:t>
      </w:r>
      <w:r w:rsidRPr="00513394">
        <w:t>1970] Ch 62</w:t>
      </w:r>
      <w:r w:rsidR="003F41D7">
        <w:t>,</w:t>
      </w:r>
      <w:r w:rsidRPr="00513394">
        <w:t xml:space="preserve"> 74</w:t>
      </w:r>
      <w:r>
        <w:t xml:space="preserve"> (</w:t>
      </w:r>
      <w:r w:rsidRPr="00513394">
        <w:t>Pennycuick J</w:t>
      </w:r>
      <w:r>
        <w:t>)</w:t>
      </w:r>
      <w:r w:rsidRPr="00513394">
        <w:t>.</w:t>
      </w:r>
    </w:p>
  </w:footnote>
  <w:footnote w:id="31">
    <w:p w14:paraId="379DB8E5" w14:textId="414AF3A4" w:rsidR="008F1C64" w:rsidRDefault="008F1C64">
      <w:pPr>
        <w:pStyle w:val="FootnoteText"/>
      </w:pPr>
      <w:r w:rsidRPr="001C4185">
        <w:rPr>
          <w:rStyle w:val="FootnoteReference"/>
        </w:rPr>
        <w:footnoteRef/>
      </w:r>
      <w:r>
        <w:t xml:space="preserve"> </w:t>
      </w:r>
      <w:r w:rsidR="003E2ECA" w:rsidRPr="00293978">
        <w:rPr>
          <w:i/>
          <w:iCs/>
        </w:rPr>
        <w:t>Re HLC Environmental Projects Ltd [</w:t>
      </w:r>
      <w:r w:rsidR="003E2ECA" w:rsidRPr="003E2ECA">
        <w:t>2013] EWHC 2876 (Ch) [92]</w:t>
      </w:r>
      <w:r w:rsidR="009C0145">
        <w:t>.</w:t>
      </w:r>
    </w:p>
  </w:footnote>
  <w:footnote w:id="32">
    <w:p w14:paraId="02111738" w14:textId="2A0F5C63" w:rsidR="009824B3" w:rsidRDefault="009824B3">
      <w:pPr>
        <w:pStyle w:val="FootnoteText"/>
      </w:pPr>
      <w:r>
        <w:rPr>
          <w:rStyle w:val="FootnoteReference"/>
        </w:rPr>
        <w:footnoteRef/>
      </w:r>
      <w:r>
        <w:t xml:space="preserve"> </w:t>
      </w:r>
      <w:r>
        <w:fldChar w:fldCharType="begin"/>
      </w:r>
      <w:r w:rsidR="00CC57D0">
        <w:instrText xml:space="preserve"> ADDIN ZOTERO_ITEM CSL_CITATION {"citationID":"aWk5iAnx","properties":{"formattedCitation":"Shivji KC and others (n 23) 37.","plainCitation":"Shivji KC and others (n 23) 37.","dontUpdate":true,"noteIndex":32},"citationItems":[{"id":3491,"uris":["http://zotero.org/users/7352693/items/H342BS2U"],"itemData":{"id":3491,"type":"document","title":"Opinion: Nature-related risks and directors’ duties under the law of England and Wales","URL":"https://commonwealthclimatelaw.org/company-directors-should-consider-companys-nature-related-risks-including-climate-risks-landmark-english-law-legal-opinion/","author":[{"family":"Shivji KC","given":"Sharif"},{"family":"Stubbs KC","given":"Rebecca"},{"family":"Burton","given":"James"},{"family":"Anderson","given":"Karl"},{"family":"Hossein","given":"Sharafi"}],"accessed":{"date-parts":[["2025",2,14]]},"issued":{"date-parts":[["2024",3,11]]},"citation-key":"shivjikcOpinionNaturerelatedRisks2024"},"locator":"37","label":"page"}],"schema":"https://github.com/citation-style-language/schema/raw/master/csl-citation.json"} </w:instrText>
      </w:r>
      <w:r>
        <w:fldChar w:fldCharType="separate"/>
      </w:r>
      <w:r w:rsidR="009C0145" w:rsidRPr="009C0145">
        <w:t>Shivji KC and others (n 2</w:t>
      </w:r>
      <w:r w:rsidR="00D4092B">
        <w:t>2</w:t>
      </w:r>
      <w:r w:rsidR="009C0145" w:rsidRPr="009C0145">
        <w:t>) 37.</w:t>
      </w:r>
      <w:r>
        <w:fldChar w:fldCharType="end"/>
      </w:r>
    </w:p>
  </w:footnote>
  <w:footnote w:id="33">
    <w:p w14:paraId="58F6DC4D" w14:textId="1ED59554" w:rsidR="00F94960" w:rsidRDefault="00F94960">
      <w:pPr>
        <w:pStyle w:val="FootnoteText"/>
      </w:pPr>
      <w:r w:rsidRPr="001C4185">
        <w:rPr>
          <w:rStyle w:val="FootnoteReference"/>
        </w:rPr>
        <w:footnoteRef/>
      </w:r>
      <w:r>
        <w:t xml:space="preserve"> </w:t>
      </w:r>
      <w:r>
        <w:fldChar w:fldCharType="begin"/>
      </w:r>
      <w:r w:rsidR="00CC57D0">
        <w:instrText xml:space="preserve"> ADDIN ZOTERO_ITEM CSL_CITATION {"citationID":"DPG7fG26","properties":{"formattedCitation":"Mark Arnold KC and Marcus Haywood, \\uc0\\u8216{}Duty to Promote the Success of the Company\\uc0\\u8217{} in Mark Arnold KC and Simon Mortimore KC (eds), {\\i{}Company Directors: Duties, Liabilities, and Remedies} (Oxford University Press 2024) 12.02.","plainCitation":"Mark Arnold KC and Marcus Haywood, ‘Duty to Promote the Success of the Company’ in Mark Arnold KC and Simon Mortimore KC (eds), Company Directors: Duties, Liabilities, and Remedies (Oxford University Press 2024) 12.02.","noteIndex":33},"citationItems":[{"id":3565,"uris":["http://zotero.org/users/7352693/items/N8FLTP7D"],"itemData":{"id":3565,"type":"chapter","abstract":"This chapter covers the director's duty to promote the success of the company. The director of a company must act in good faith that would likely promote the success of the company for the benefit of its members as a whole. Moreover, the duty imposed by this section has effect subject to any enactment or rule of law requiring directors, in certain circumstances, to consider or act in the interest of the company creditors. The duty to promote the success of the company is closely related to the other general duties owed by a director to the company. The chapter mentions how a director who wants to be protected from the risk of being in breach of duty may obtain consent, approval, and authorization of members.","container-title":"Company Directors: Duties, Liabilities, and Remedies","ISBN":"978-0-19-284287-9","note":"DOI: 10.1093/law/9780192842879.003.0012","page":"0","publisher":"Oxford University Press","source":"Silverchair","title":"Duty to Promote the Success of the Company","author":[{"family":"Arnold KC","given":"Mark"},{"family":"Haywood","given":"Marcus"}],"editor":[{"family":"Arnold KC","given":"Mark"},{"family":"Mortimore KC","given":"Simon"}],"issued":{"date-parts":[["2024",1,25]]},"citation-key":"arnoldkcDutyPromoteSuccess2024"},"locator":"12.02","label":"page"}],"schema":"https://github.com/citation-style-language/schema/raw/master/csl-citation.json"} </w:instrText>
      </w:r>
      <w:r>
        <w:fldChar w:fldCharType="separate"/>
      </w:r>
      <w:r w:rsidR="00CC57D0" w:rsidRPr="00CC57D0">
        <w:rPr>
          <w:rFonts w:cs="Times New Roman"/>
          <w:kern w:val="0"/>
        </w:rPr>
        <w:t xml:space="preserve">Mark Arnold KC and Marcus Haywood, ‘Duty to Promote the Success of the Company’ in Mark Arnold KC and Simon Mortimore KC (eds), </w:t>
      </w:r>
      <w:r w:rsidR="00CC57D0" w:rsidRPr="00CC57D0">
        <w:rPr>
          <w:rFonts w:cs="Times New Roman"/>
          <w:i/>
          <w:iCs/>
          <w:kern w:val="0"/>
        </w:rPr>
        <w:t>Company Directors: Duties, Liabilities, and Remedies</w:t>
      </w:r>
      <w:r w:rsidR="00CC57D0" w:rsidRPr="00CC57D0">
        <w:rPr>
          <w:rFonts w:cs="Times New Roman"/>
          <w:kern w:val="0"/>
        </w:rPr>
        <w:t xml:space="preserve"> (Oxford University Press 2024) 12.02.</w:t>
      </w:r>
      <w:r>
        <w:fldChar w:fldCharType="end"/>
      </w:r>
    </w:p>
  </w:footnote>
  <w:footnote w:id="34">
    <w:p w14:paraId="4DDFAF78" w14:textId="77777777" w:rsidR="00D35F84" w:rsidRPr="00576A07" w:rsidRDefault="00D35F84" w:rsidP="00D35F84">
      <w:pPr>
        <w:pStyle w:val="FootnoteText"/>
        <w:jc w:val="both"/>
        <w:rPr>
          <w:rFonts w:cstheme="minorHAnsi"/>
          <w:lang w:val="en-US"/>
        </w:rPr>
      </w:pPr>
      <w:r w:rsidRPr="001C4185">
        <w:rPr>
          <w:rStyle w:val="FootnoteReference"/>
        </w:rPr>
        <w:footnoteRef/>
      </w:r>
      <w:r w:rsidRPr="00576A07">
        <w:rPr>
          <w:rFonts w:cstheme="minorHAnsi"/>
        </w:rPr>
        <w:t xml:space="preserve"> </w:t>
      </w:r>
      <w:r w:rsidRPr="00576A07">
        <w:rPr>
          <w:rFonts w:cstheme="minorHAnsi"/>
          <w:lang w:val="en-US"/>
        </w:rPr>
        <w:t xml:space="preserve">Explanatory notes to section 172 of the Companies Act 2006 at [325]-[327]. </w:t>
      </w:r>
    </w:p>
  </w:footnote>
  <w:footnote w:id="35">
    <w:p w14:paraId="36C0D378" w14:textId="22EF646E" w:rsidR="00195723" w:rsidRPr="00576A07" w:rsidRDefault="00195723" w:rsidP="00195723">
      <w:pPr>
        <w:pStyle w:val="FootnoteText"/>
        <w:jc w:val="both"/>
        <w:rPr>
          <w:rFonts w:cstheme="minorHAnsi"/>
          <w:lang w:val="en-US"/>
        </w:rPr>
      </w:pPr>
      <w:r w:rsidRPr="001C4185">
        <w:rPr>
          <w:rStyle w:val="FootnoteReference"/>
        </w:rPr>
        <w:footnoteRef/>
      </w:r>
      <w:r w:rsidRPr="00576A07">
        <w:rPr>
          <w:rFonts w:cstheme="minorHAnsi"/>
        </w:rPr>
        <w:t xml:space="preserve"> </w:t>
      </w:r>
      <w:r w:rsidR="00B36B5F">
        <w:rPr>
          <w:rFonts w:cstheme="minorHAnsi"/>
          <w:lang w:val="en-US"/>
        </w:rPr>
        <w:t>i</w:t>
      </w:r>
      <w:r w:rsidRPr="00576A07">
        <w:rPr>
          <w:rFonts w:cstheme="minorHAnsi"/>
          <w:lang w:val="en-US"/>
        </w:rPr>
        <w:t xml:space="preserve">bid at [328]. </w:t>
      </w:r>
    </w:p>
  </w:footnote>
  <w:footnote w:id="36">
    <w:p w14:paraId="2E2AA04B" w14:textId="217896CF" w:rsidR="00063316" w:rsidRDefault="00063316">
      <w:pPr>
        <w:pStyle w:val="FootnoteText"/>
      </w:pPr>
      <w:r w:rsidRPr="001C4185">
        <w:rPr>
          <w:rStyle w:val="FootnoteReference"/>
        </w:rPr>
        <w:footnoteRef/>
      </w:r>
      <w:r>
        <w:t xml:space="preserve"> Companies Act 2006, s 174(2)(a). </w:t>
      </w:r>
    </w:p>
  </w:footnote>
  <w:footnote w:id="37">
    <w:p w14:paraId="08ECF1B4" w14:textId="7D7464C9" w:rsidR="00893B84" w:rsidRDefault="00893B84">
      <w:pPr>
        <w:pStyle w:val="FootnoteText"/>
      </w:pPr>
      <w:r w:rsidRPr="001C4185">
        <w:rPr>
          <w:rStyle w:val="FootnoteReference"/>
        </w:rPr>
        <w:footnoteRef/>
      </w:r>
      <w:r>
        <w:t xml:space="preserve"> </w:t>
      </w:r>
      <w:r w:rsidR="005F3C76" w:rsidRPr="00DB4475">
        <w:rPr>
          <w:i/>
          <w:iCs/>
        </w:rPr>
        <w:t>Brumder v Motornet Service and Repairs Ltd</w:t>
      </w:r>
      <w:r w:rsidR="005F3C76" w:rsidRPr="005F3C76">
        <w:t xml:space="preserve"> [2013] 1 WLR 2783 [46]</w:t>
      </w:r>
      <w:r w:rsidR="005F3C76">
        <w:t>, cited in</w:t>
      </w:r>
      <w:r w:rsidR="005F3C76" w:rsidRPr="005F3C76">
        <w:t xml:space="preserve"> </w:t>
      </w:r>
      <w:r>
        <w:fldChar w:fldCharType="begin"/>
      </w:r>
      <w:r w:rsidR="00CC57D0">
        <w:instrText xml:space="preserve"> ADDIN ZOTERO_ITEM CSL_CITATION {"citationID":"iZhdr9Ol","properties":{"formattedCitation":"Shivji KC and others (n 23) [71].","plainCitation":"Shivji KC and others (n 23) [71].","dontUpdate":true,"noteIndex":37},"citationItems":[{"id":3491,"uris":["http://zotero.org/users/7352693/items/H342BS2U"],"itemData":{"id":3491,"type":"document","title":"Opinion: Nature-related risks and directors’ duties under the law of England and Wales","URL":"https://commonwealthclimatelaw.org/company-directors-should-consider-companys-nature-related-risks-including-climate-risks-landmark-english-law-legal-opinion/","author":[{"family":"Shivji KC","given":"Sharif"},{"family":"Stubbs KC","given":"Rebecca"},{"family":"Burton","given":"James"},{"family":"Anderson","given":"Karl"},{"family":"Hossein","given":"Sharafi"}],"accessed":{"date-parts":[["2025",2,14]]},"issued":{"date-parts":[["2024",3,11]]},"citation-key":"shivjikcOpinionNaturerelatedRisks2024"},"locator":"[71]","label":"page"}],"schema":"https://github.com/citation-style-language/schema/raw/master/csl-citation.json"} </w:instrText>
      </w:r>
      <w:r>
        <w:fldChar w:fldCharType="separate"/>
      </w:r>
      <w:r w:rsidR="00BB00B9" w:rsidRPr="00BB00B9">
        <w:t>Shivji KC and others (n 2</w:t>
      </w:r>
      <w:r w:rsidR="00EF241A">
        <w:t>2</w:t>
      </w:r>
      <w:r w:rsidR="00BB00B9" w:rsidRPr="00BB00B9">
        <w:t>) [71].</w:t>
      </w:r>
      <w:r>
        <w:fldChar w:fldCharType="end"/>
      </w:r>
    </w:p>
  </w:footnote>
  <w:footnote w:id="38">
    <w:p w14:paraId="4275D69C" w14:textId="6B619652" w:rsidR="000E1654" w:rsidRDefault="000E1654">
      <w:pPr>
        <w:pStyle w:val="FootnoteText"/>
      </w:pPr>
      <w:r w:rsidRPr="001C4185">
        <w:rPr>
          <w:rStyle w:val="FootnoteReference"/>
        </w:rPr>
        <w:footnoteRef/>
      </w:r>
      <w:r>
        <w:t xml:space="preserve"> </w:t>
      </w:r>
      <w:r w:rsidRPr="000E1654">
        <w:rPr>
          <w:i/>
          <w:iCs/>
        </w:rPr>
        <w:t>Sharp v Blank and others</w:t>
      </w:r>
      <w:r w:rsidRPr="000E1654">
        <w:t xml:space="preserve"> [2019] EWHC 3096 (Ch) [631]</w:t>
      </w:r>
      <w:r>
        <w:t xml:space="preserve"> (</w:t>
      </w:r>
      <w:r w:rsidRPr="000E1654">
        <w:t>Norris</w:t>
      </w:r>
      <w:r w:rsidR="0087303C">
        <w:t xml:space="preserve"> J</w:t>
      </w:r>
      <w:r>
        <w:t>)</w:t>
      </w:r>
    </w:p>
  </w:footnote>
  <w:footnote w:id="39">
    <w:p w14:paraId="4913063F" w14:textId="0B3AD5E6" w:rsidR="002A5C2C" w:rsidRDefault="002A5C2C">
      <w:pPr>
        <w:pStyle w:val="FootnoteText"/>
      </w:pPr>
      <w:r w:rsidRPr="001C4185">
        <w:rPr>
          <w:rStyle w:val="FootnoteReference"/>
        </w:rPr>
        <w:footnoteRef/>
      </w:r>
      <w:r>
        <w:t xml:space="preserve"> Companies Act 2006, s 170(1). </w:t>
      </w:r>
    </w:p>
  </w:footnote>
  <w:footnote w:id="40">
    <w:p w14:paraId="2DCDB0BE" w14:textId="44523686" w:rsidR="006309B4" w:rsidRPr="006309B4" w:rsidRDefault="006309B4">
      <w:pPr>
        <w:pStyle w:val="FootnoteText"/>
      </w:pPr>
      <w:r>
        <w:rPr>
          <w:rStyle w:val="FootnoteReference"/>
        </w:rPr>
        <w:footnoteRef/>
      </w:r>
      <w:r>
        <w:t xml:space="preserve"> </w:t>
      </w:r>
      <w:r>
        <w:rPr>
          <w:i/>
          <w:iCs/>
        </w:rPr>
        <w:t xml:space="preserve">Foss v Harbottle </w:t>
      </w:r>
      <w:r w:rsidR="00771D2E">
        <w:t xml:space="preserve">(1843) 2 Hare 461, </w:t>
      </w:r>
      <w:r w:rsidR="001118C8">
        <w:t>67 ER 189</w:t>
      </w:r>
      <w:r w:rsidR="00976A8A">
        <w:t>.</w:t>
      </w:r>
      <w:r w:rsidR="001118C8">
        <w:t xml:space="preserve"> </w:t>
      </w:r>
    </w:p>
  </w:footnote>
  <w:footnote w:id="41">
    <w:p w14:paraId="03707073" w14:textId="5F65DABA" w:rsidR="000865D7" w:rsidRDefault="000865D7">
      <w:pPr>
        <w:pStyle w:val="FootnoteText"/>
      </w:pPr>
      <w:r w:rsidRPr="001C4185">
        <w:rPr>
          <w:rStyle w:val="FootnoteReference"/>
        </w:rPr>
        <w:footnoteRef/>
      </w:r>
      <w:r>
        <w:t xml:space="preserve"> Companies Act 2006, s </w:t>
      </w:r>
      <w:r w:rsidR="007C5761">
        <w:t>261.</w:t>
      </w:r>
    </w:p>
  </w:footnote>
  <w:footnote w:id="42">
    <w:p w14:paraId="3572264D" w14:textId="0452F573" w:rsidR="00C23371" w:rsidRDefault="00C23371" w:rsidP="00C23371">
      <w:pPr>
        <w:pStyle w:val="FootnoteText"/>
      </w:pPr>
      <w:r w:rsidRPr="001C4185">
        <w:rPr>
          <w:rStyle w:val="FootnoteReference"/>
        </w:rPr>
        <w:footnoteRef/>
      </w:r>
      <w:r>
        <w:t xml:space="preserve"> ibid.</w:t>
      </w:r>
    </w:p>
  </w:footnote>
  <w:footnote w:id="43">
    <w:p w14:paraId="1871C307" w14:textId="5975C334" w:rsidR="003A6269" w:rsidRDefault="003A6269">
      <w:pPr>
        <w:pStyle w:val="FootnoteText"/>
      </w:pPr>
      <w:r>
        <w:rPr>
          <w:rStyle w:val="FootnoteReference"/>
        </w:rPr>
        <w:footnoteRef/>
      </w:r>
      <w:r>
        <w:t xml:space="preserve"> ibid, s 263. </w:t>
      </w:r>
    </w:p>
  </w:footnote>
  <w:footnote w:id="44">
    <w:p w14:paraId="3E997B19" w14:textId="77777777" w:rsidR="00874AC0" w:rsidRPr="00576A07" w:rsidRDefault="00874AC0" w:rsidP="00874AC0">
      <w:pPr>
        <w:pStyle w:val="FootnoteText"/>
        <w:jc w:val="both"/>
        <w:rPr>
          <w:rFonts w:cstheme="minorHAnsi"/>
          <w:lang w:val="en-US"/>
        </w:rPr>
      </w:pPr>
      <w:r w:rsidRPr="001C4185">
        <w:rPr>
          <w:rStyle w:val="FootnoteReference"/>
        </w:rPr>
        <w:footnoteRef/>
      </w:r>
      <w:r w:rsidRPr="00576A07">
        <w:rPr>
          <w:rFonts w:cstheme="minorHAnsi"/>
        </w:rPr>
        <w:t xml:space="preserve"> For comparison, see </w:t>
      </w:r>
      <w:r w:rsidRPr="00576A07">
        <w:rPr>
          <w:rFonts w:cstheme="minorHAnsi"/>
          <w:i/>
        </w:rPr>
        <w:t>Withers v NY Teachers Retirement System</w:t>
      </w:r>
      <w:r w:rsidRPr="00576A07">
        <w:rPr>
          <w:rFonts w:cstheme="minorHAnsi"/>
        </w:rPr>
        <w:t xml:space="preserve"> (1978) 447 F Supp 1248. The Court of Appeals for the Second Circuit approved an investment by the teachers’ pension fund in New York City Bonds as part of the plan to stave off the City’s bankruptcy. The lower return compared to other investments was justified because of the risk that, if not made, the City would cease being able to contribute to the pension fund.</w:t>
      </w:r>
    </w:p>
  </w:footnote>
  <w:footnote w:id="45">
    <w:p w14:paraId="21144D8B" w14:textId="005745EA" w:rsidR="00874AC0" w:rsidRPr="00576A07" w:rsidRDefault="00874AC0" w:rsidP="00874AC0">
      <w:pPr>
        <w:pStyle w:val="FootnoteText"/>
        <w:rPr>
          <w:rFonts w:cstheme="minorHAnsi"/>
          <w:lang w:val="en-US"/>
        </w:rPr>
      </w:pPr>
      <w:r w:rsidRPr="001C4185">
        <w:rPr>
          <w:rStyle w:val="FootnoteReference"/>
        </w:rPr>
        <w:footnoteRef/>
      </w:r>
      <w:r w:rsidRPr="00576A07">
        <w:rPr>
          <w:rFonts w:cstheme="minorHAnsi"/>
        </w:rPr>
        <w:t xml:space="preserve"> </w:t>
      </w:r>
      <w:r w:rsidR="00E376A9" w:rsidRPr="00576A07">
        <w:rPr>
          <w:rFonts w:cstheme="minorHAnsi"/>
        </w:rPr>
        <w:t>[1985] Ch 270 (Ch).</w:t>
      </w:r>
    </w:p>
  </w:footnote>
  <w:footnote w:id="46">
    <w:p w14:paraId="22EF90B5" w14:textId="015A7162" w:rsidR="00874AC0" w:rsidRPr="00576A07" w:rsidRDefault="00874AC0" w:rsidP="00874AC0">
      <w:pPr>
        <w:pStyle w:val="FootnoteText"/>
        <w:rPr>
          <w:rFonts w:cstheme="minorHAnsi"/>
          <w:lang w:val="en-US"/>
        </w:rPr>
      </w:pPr>
      <w:r w:rsidRPr="001C4185">
        <w:rPr>
          <w:rStyle w:val="FootnoteReference"/>
        </w:rPr>
        <w:footnoteRef/>
      </w:r>
      <w:r w:rsidRPr="00576A07">
        <w:rPr>
          <w:rFonts w:cstheme="minorHAnsi"/>
        </w:rPr>
        <w:t xml:space="preserve"> </w:t>
      </w:r>
      <w:r w:rsidR="00147FB5" w:rsidRPr="00576A07">
        <w:rPr>
          <w:rFonts w:cstheme="minorHAnsi"/>
        </w:rPr>
        <w:t>[1992] 1 WLR 1241 (Ch).</w:t>
      </w:r>
    </w:p>
  </w:footnote>
  <w:footnote w:id="47">
    <w:p w14:paraId="0E90944E" w14:textId="45D470C3" w:rsidR="00174F2C" w:rsidRPr="00601350" w:rsidRDefault="00174F2C">
      <w:pPr>
        <w:pStyle w:val="FootnoteText"/>
      </w:pPr>
      <w:r w:rsidRPr="001C4185">
        <w:rPr>
          <w:rStyle w:val="FootnoteReference"/>
        </w:rPr>
        <w:footnoteRef/>
      </w:r>
      <w:r>
        <w:t xml:space="preserve"> </w:t>
      </w:r>
      <w:r w:rsidR="00E10CBF" w:rsidRPr="00E10CBF">
        <w:t>[2023] EWHC 1137 (Ch)</w:t>
      </w:r>
      <w:r w:rsidR="00D43A0B">
        <w:t xml:space="preserve">. </w:t>
      </w:r>
      <w:r w:rsidR="00601350">
        <w:t xml:space="preserve">See the case note at (2025) 46 </w:t>
      </w:r>
      <w:r w:rsidR="00601350">
        <w:rPr>
          <w:i/>
          <w:iCs/>
        </w:rPr>
        <w:t>The Company Lawyer</w:t>
      </w:r>
      <w:r w:rsidR="00601350">
        <w:t xml:space="preserve"> </w:t>
      </w:r>
      <w:r w:rsidR="00ED1281">
        <w:t>135.</w:t>
      </w:r>
    </w:p>
  </w:footnote>
  <w:footnote w:id="48">
    <w:p w14:paraId="5FDF4B25" w14:textId="6453A34E" w:rsidR="00E13735" w:rsidRDefault="00E13735">
      <w:pPr>
        <w:pStyle w:val="FootnoteText"/>
      </w:pPr>
      <w:r w:rsidRPr="001C4185">
        <w:rPr>
          <w:rStyle w:val="FootnoteReference"/>
        </w:rPr>
        <w:footnoteRef/>
      </w:r>
      <w:r>
        <w:t xml:space="preserve"> </w:t>
      </w:r>
      <w:r>
        <w:fldChar w:fldCharType="begin"/>
      </w:r>
      <w:r w:rsidR="009824B3">
        <w:instrText xml:space="preserve"> ADDIN ZOTERO_ITEM CSL_CITATION {"citationID":"sn3mgQdL","properties":{"formattedCitation":"ClientEarth, \\uc0\\u8216{}Particulars of Claim\\uc0\\u8217{} [23]-[24] &lt;https://www.clientearth.org/latest/documents/particulars-of-claim-clientearth-s-case-against-shell-s-board-of-directors/&gt; accessed 15 February 2025.","plainCitation":"ClientEarth, ‘Particulars of Claim’ [23]-[24] &lt;https://www.clientearth.org/latest/documents/particulars-of-claim-clientearth-s-case-against-shell-s-board-of-directors/&gt; accessed 15 February 2025.","noteIndex":48},"citationItems":[{"id":3596,"uris":["http://zotero.org/users/7352693/items/TNHZZTL2"],"itemData":{"id":3596,"type":"document","abstract":"Particulars of Claim dated 8 February 2023, setting out ClientEarth’s case against Shell’s Board of Directors.","language":"en-US","title":"Particulars of Claim","URL":"https://www.clientearth.org/latest/documents/particulars-of-claim-clientearth-s-case-against-shell-s-board-of-directors/","author":[{"literal":"ClientEarth"}],"accessed":{"date-parts":[["2025",2,15]]},"issued":{"date-parts":[["2023",2,8]]},"citation-key":"clientearthParticularsClaim2023"},"locator":"[23]-[24]","label":"page"}],"schema":"https://github.com/citation-style-language/schema/raw/master/csl-citation.json"} </w:instrText>
      </w:r>
      <w:r>
        <w:fldChar w:fldCharType="separate"/>
      </w:r>
      <w:r w:rsidR="00BB00B9" w:rsidRPr="00BB00B9">
        <w:rPr>
          <w:rFonts w:cs="Times New Roman"/>
          <w:kern w:val="0"/>
        </w:rPr>
        <w:t>ClientEarth, ‘Particulars of Claim’ [23]-[24] &lt;https://www.clientearth.org/latest/documents/particulars-of-claim-clientearth-s-case-against-shell-s-board-of-directors/&gt; accessed 15 February 2025.</w:t>
      </w:r>
      <w:r>
        <w:fldChar w:fldCharType="end"/>
      </w:r>
    </w:p>
  </w:footnote>
  <w:footnote w:id="49">
    <w:p w14:paraId="2B368554" w14:textId="66C32FF2" w:rsidR="005A0825" w:rsidRPr="005A0825" w:rsidRDefault="005A0825">
      <w:pPr>
        <w:pStyle w:val="FootnoteText"/>
      </w:pPr>
      <w:r w:rsidRPr="001C4185">
        <w:rPr>
          <w:rStyle w:val="FootnoteReference"/>
        </w:rPr>
        <w:footnoteRef/>
      </w:r>
      <w:r>
        <w:t xml:space="preserve"> </w:t>
      </w:r>
      <w:r>
        <w:rPr>
          <w:i/>
          <w:iCs/>
        </w:rPr>
        <w:t>ClientEarth</w:t>
      </w:r>
      <w:r w:rsidR="00667FF9">
        <w:rPr>
          <w:i/>
          <w:iCs/>
        </w:rPr>
        <w:t xml:space="preserve"> </w:t>
      </w:r>
      <w:r w:rsidR="00667FF9">
        <w:t>(n 46)</w:t>
      </w:r>
      <w:r>
        <w:rPr>
          <w:i/>
          <w:iCs/>
        </w:rPr>
        <w:t xml:space="preserve"> </w:t>
      </w:r>
      <w:r>
        <w:t>[9]</w:t>
      </w:r>
      <w:r w:rsidR="00FF0B3A">
        <w:t xml:space="preserve"> (Trower J)</w:t>
      </w:r>
      <w:r w:rsidR="00B4015D">
        <w:t xml:space="preserve"> </w:t>
      </w:r>
    </w:p>
  </w:footnote>
  <w:footnote w:id="50">
    <w:p w14:paraId="39604C7A" w14:textId="3A5D1E7E" w:rsidR="00730D5F" w:rsidRPr="00730D5F" w:rsidRDefault="00730D5F">
      <w:pPr>
        <w:pStyle w:val="FootnoteText"/>
      </w:pPr>
      <w:r w:rsidRPr="001C4185">
        <w:rPr>
          <w:rStyle w:val="FootnoteReference"/>
        </w:rPr>
        <w:footnoteRef/>
      </w:r>
      <w:r>
        <w:t xml:space="preserve"> </w:t>
      </w:r>
      <w:r w:rsidR="00667FF9" w:rsidRPr="00667FF9">
        <w:t>ibid</w:t>
      </w:r>
      <w:r>
        <w:rPr>
          <w:i/>
          <w:iCs/>
        </w:rPr>
        <w:t xml:space="preserve"> </w:t>
      </w:r>
      <w:r>
        <w:t xml:space="preserve">[16]. </w:t>
      </w:r>
    </w:p>
  </w:footnote>
  <w:footnote w:id="51">
    <w:p w14:paraId="0D730E3C" w14:textId="6B8DB4AF" w:rsidR="00B87C2E" w:rsidRDefault="00B87C2E">
      <w:pPr>
        <w:pStyle w:val="FootnoteText"/>
      </w:pPr>
      <w:r w:rsidRPr="001C4185">
        <w:rPr>
          <w:rStyle w:val="FootnoteReference"/>
        </w:rPr>
        <w:footnoteRef/>
      </w:r>
      <w:r>
        <w:t xml:space="preserve"> ibid [19]. </w:t>
      </w:r>
    </w:p>
  </w:footnote>
  <w:footnote w:id="52">
    <w:p w14:paraId="182C4F00" w14:textId="36C442FA" w:rsidR="00C52F6B" w:rsidRDefault="00C52F6B">
      <w:pPr>
        <w:pStyle w:val="FootnoteText"/>
      </w:pPr>
      <w:r w:rsidRPr="001C4185">
        <w:rPr>
          <w:rStyle w:val="FootnoteReference"/>
        </w:rPr>
        <w:footnoteRef/>
      </w:r>
      <w:r>
        <w:t xml:space="preserve"> ibid [20]. </w:t>
      </w:r>
    </w:p>
  </w:footnote>
  <w:footnote w:id="53">
    <w:p w14:paraId="2B09AB96" w14:textId="5A789D19" w:rsidR="001F5103" w:rsidRDefault="001F5103">
      <w:pPr>
        <w:pStyle w:val="FootnoteText"/>
      </w:pPr>
      <w:r w:rsidRPr="001C4185">
        <w:rPr>
          <w:rStyle w:val="FootnoteReference"/>
        </w:rPr>
        <w:footnoteRef/>
      </w:r>
      <w:r>
        <w:t xml:space="preserve"> </w:t>
      </w:r>
      <w:r>
        <w:fldChar w:fldCharType="begin"/>
      </w:r>
      <w:r w:rsidR="00832B19">
        <w:instrText xml:space="preserve"> ADDIN ZOTERO_ITEM CSL_CITATION {"citationID":"EQQcOZSt","properties":{"formattedCitation":"Lord Robert Carnwath, \\uc0\\u8216{}ClientEarth v Shell: What Future for Derivative Claims?\\uc0\\u8217{} 3.","plainCitation":"Lord Robert Carnwath, ‘ClientEarth v Shell: What Future for Derivative Claims?’ 3.","dontUpdate":true,"noteIndex":53},"citationItems":[{"id":3498,"uris":["http://zotero.org/users/7352693/items/NKZMLT3I"],"itemData":{"id":3498,"type":"article-journal","language":"en","source":"Zotero","title":"ClientEarth v Shell: What future for derivative claims?","author":[{"family":"Carnwath","given":"Lord Robert"}],"issued":{"date-parts":[["2024",2]]},"citation-key":"carnwathClientEarthShellWhat2024"},"locator":"3","label":"page"}],"schema":"https://github.com/citation-style-language/schema/raw/master/csl-citation.json"} </w:instrText>
      </w:r>
      <w:r>
        <w:fldChar w:fldCharType="separate"/>
      </w:r>
      <w:r w:rsidRPr="001F5103">
        <w:rPr>
          <w:rFonts w:cs="Times New Roman"/>
          <w:kern w:val="0"/>
        </w:rPr>
        <w:t>Lord Carnwath, ‘ClientEarth v Shell: What Future for Derivative Claims?’ 3.</w:t>
      </w:r>
      <w:r>
        <w:fldChar w:fldCharType="end"/>
      </w:r>
    </w:p>
  </w:footnote>
  <w:footnote w:id="54">
    <w:p w14:paraId="6F57722A" w14:textId="436710EE" w:rsidR="007D7761" w:rsidRPr="004104DD" w:rsidRDefault="007D7761">
      <w:pPr>
        <w:pStyle w:val="FootnoteText"/>
      </w:pPr>
      <w:r w:rsidRPr="001C4185">
        <w:rPr>
          <w:rStyle w:val="FootnoteReference"/>
        </w:rPr>
        <w:footnoteRef/>
      </w:r>
      <w:r>
        <w:t xml:space="preserve"> </w:t>
      </w:r>
      <w:r w:rsidR="000F625B">
        <w:rPr>
          <w:i/>
          <w:iCs/>
        </w:rPr>
        <w:t xml:space="preserve">ClientEarth </w:t>
      </w:r>
      <w:r w:rsidR="000F625B">
        <w:t xml:space="preserve">(n 46) </w:t>
      </w:r>
      <w:r w:rsidR="004104DD">
        <w:t xml:space="preserve">[38]. </w:t>
      </w:r>
    </w:p>
  </w:footnote>
  <w:footnote w:id="55">
    <w:p w14:paraId="7A0DAF15" w14:textId="2681E037" w:rsidR="00C112F8" w:rsidRPr="00C112F8" w:rsidRDefault="00C112F8">
      <w:pPr>
        <w:pStyle w:val="FootnoteText"/>
      </w:pPr>
      <w:r w:rsidRPr="001C4185">
        <w:rPr>
          <w:rStyle w:val="FootnoteReference"/>
        </w:rPr>
        <w:footnoteRef/>
      </w:r>
      <w:r>
        <w:t xml:space="preserve"> </w:t>
      </w:r>
      <w:r w:rsidRPr="00C112F8">
        <w:rPr>
          <w:i/>
          <w:iCs/>
        </w:rPr>
        <w:t>Milieudefensie v Royal Dutch Shell</w:t>
      </w:r>
      <w:r w:rsidR="00E52F5C">
        <w:rPr>
          <w:i/>
          <w:iCs/>
        </w:rPr>
        <w:t xml:space="preserve">, </w:t>
      </w:r>
      <w:r w:rsidR="00E52F5C" w:rsidRPr="00E52F5C">
        <w:t>District court of The Hague</w:t>
      </w:r>
      <w:r w:rsidR="00FA044A">
        <w:t>, 26 May 2021,</w:t>
      </w:r>
      <w:r w:rsidR="00E52F5C" w:rsidRPr="00E52F5C">
        <w:rPr>
          <w:i/>
          <w:iCs/>
        </w:rPr>
        <w:t xml:space="preserve"> </w:t>
      </w:r>
      <w:r w:rsidR="00260BE9" w:rsidRPr="00260BE9">
        <w:t>ECLI:NL:RBDHA:2021:5339</w:t>
      </w:r>
      <w:r w:rsidR="00FA044A">
        <w:t xml:space="preserve">. </w:t>
      </w:r>
    </w:p>
  </w:footnote>
  <w:footnote w:id="56">
    <w:p w14:paraId="6F0D6F0C" w14:textId="5ACEC0E1" w:rsidR="002938E7" w:rsidRPr="002938E7" w:rsidRDefault="002938E7">
      <w:pPr>
        <w:pStyle w:val="FootnoteText"/>
      </w:pPr>
      <w:r w:rsidRPr="001C4185">
        <w:rPr>
          <w:rStyle w:val="FootnoteReference"/>
        </w:rPr>
        <w:footnoteRef/>
      </w:r>
      <w:r>
        <w:t xml:space="preserve"> </w:t>
      </w:r>
      <w:r>
        <w:rPr>
          <w:i/>
          <w:iCs/>
        </w:rPr>
        <w:t>ClientEarth</w:t>
      </w:r>
      <w:r w:rsidR="008A1E93">
        <w:rPr>
          <w:i/>
          <w:iCs/>
        </w:rPr>
        <w:t xml:space="preserve"> </w:t>
      </w:r>
      <w:r w:rsidR="008A1E93">
        <w:t>(n 46)</w:t>
      </w:r>
      <w:r>
        <w:rPr>
          <w:i/>
          <w:iCs/>
        </w:rPr>
        <w:t xml:space="preserve"> </w:t>
      </w:r>
      <w:r>
        <w:t>[46]</w:t>
      </w:r>
      <w:r w:rsidR="00604B22">
        <w:t>.</w:t>
      </w:r>
    </w:p>
  </w:footnote>
  <w:footnote w:id="57">
    <w:p w14:paraId="515295BB" w14:textId="6CA6A34A" w:rsidR="002938E7" w:rsidRPr="002938E7" w:rsidRDefault="002938E7">
      <w:pPr>
        <w:pStyle w:val="FootnoteText"/>
      </w:pPr>
      <w:r w:rsidRPr="001C4185">
        <w:rPr>
          <w:rStyle w:val="FootnoteReference"/>
        </w:rPr>
        <w:footnoteRef/>
      </w:r>
      <w:r>
        <w:t xml:space="preserve"> </w:t>
      </w:r>
      <w:r w:rsidR="00975DF2">
        <w:t xml:space="preserve">ibid </w:t>
      </w:r>
      <w:r>
        <w:t>[</w:t>
      </w:r>
      <w:r w:rsidR="00260E76">
        <w:t>47]</w:t>
      </w:r>
      <w:r w:rsidR="00604B22">
        <w:t>.</w:t>
      </w:r>
    </w:p>
  </w:footnote>
  <w:footnote w:id="58">
    <w:p w14:paraId="4B00B2A8" w14:textId="0E57E356" w:rsidR="00975DF2" w:rsidRDefault="00975DF2">
      <w:pPr>
        <w:pStyle w:val="FootnoteText"/>
      </w:pPr>
      <w:r w:rsidRPr="001C4185">
        <w:rPr>
          <w:rStyle w:val="FootnoteReference"/>
        </w:rPr>
        <w:footnoteRef/>
      </w:r>
      <w:r>
        <w:t xml:space="preserve"> ibid [48]</w:t>
      </w:r>
      <w:r w:rsidR="00604B22">
        <w:t>.</w:t>
      </w:r>
    </w:p>
  </w:footnote>
  <w:footnote w:id="59">
    <w:p w14:paraId="130CEADC" w14:textId="093572C8" w:rsidR="00CD4FD7" w:rsidRDefault="00CD4FD7">
      <w:pPr>
        <w:pStyle w:val="FootnoteText"/>
      </w:pPr>
      <w:r w:rsidRPr="001C4185">
        <w:rPr>
          <w:rStyle w:val="FootnoteReference"/>
        </w:rPr>
        <w:footnoteRef/>
      </w:r>
      <w:r>
        <w:t xml:space="preserve"> ibid [57].</w:t>
      </w:r>
    </w:p>
  </w:footnote>
  <w:footnote w:id="60">
    <w:p w14:paraId="7372D5C6" w14:textId="16569C8C" w:rsidR="00D73433" w:rsidRDefault="00D73433">
      <w:pPr>
        <w:pStyle w:val="FootnoteText"/>
      </w:pPr>
      <w:r w:rsidRPr="001C4185">
        <w:rPr>
          <w:rStyle w:val="FootnoteReference"/>
        </w:rPr>
        <w:footnoteRef/>
      </w:r>
      <w:r>
        <w:t xml:space="preserve"> ibid [58].</w:t>
      </w:r>
    </w:p>
  </w:footnote>
  <w:footnote w:id="61">
    <w:p w14:paraId="7A503DD6" w14:textId="2BA86D2C" w:rsidR="00957ED0" w:rsidRDefault="00957ED0">
      <w:pPr>
        <w:pStyle w:val="FootnoteText"/>
      </w:pPr>
      <w:r w:rsidRPr="001C4185">
        <w:rPr>
          <w:rStyle w:val="FootnoteReference"/>
        </w:rPr>
        <w:footnoteRef/>
      </w:r>
      <w:r>
        <w:t xml:space="preserve"> ibid [64]. </w:t>
      </w:r>
    </w:p>
  </w:footnote>
  <w:footnote w:id="62">
    <w:p w14:paraId="2891556B" w14:textId="08EF33C4" w:rsidR="003D37CE" w:rsidRDefault="003D37CE">
      <w:pPr>
        <w:pStyle w:val="FootnoteText"/>
      </w:pPr>
      <w:r w:rsidRPr="001C4185">
        <w:rPr>
          <w:rStyle w:val="FootnoteReference"/>
        </w:rPr>
        <w:footnoteRef/>
      </w:r>
      <w:r>
        <w:t xml:space="preserve"> </w:t>
      </w:r>
      <w:r w:rsidR="00F6205C">
        <w:t>[</w:t>
      </w:r>
      <w:r w:rsidR="00F6205C" w:rsidRPr="00F6205C">
        <w:t>2022] EWHC 1233 (Ch)</w:t>
      </w:r>
      <w:r w:rsidR="00F6205C">
        <w:t xml:space="preserve">. </w:t>
      </w:r>
    </w:p>
  </w:footnote>
  <w:footnote w:id="63">
    <w:p w14:paraId="2AC38289" w14:textId="7C02E7B5" w:rsidR="0037689F" w:rsidRPr="0037689F" w:rsidRDefault="0037689F">
      <w:pPr>
        <w:pStyle w:val="FootnoteText"/>
      </w:pPr>
      <w:r w:rsidRPr="001C4185">
        <w:rPr>
          <w:rStyle w:val="FootnoteReference"/>
        </w:rPr>
        <w:footnoteRef/>
      </w:r>
      <w:r>
        <w:t xml:space="preserve"> </w:t>
      </w:r>
      <w:r w:rsidR="00497118">
        <w:t xml:space="preserve">ibid </w:t>
      </w:r>
      <w:r>
        <w:t>[</w:t>
      </w:r>
      <w:r w:rsidR="00C62945">
        <w:t>18]</w:t>
      </w:r>
      <w:r w:rsidR="00DF5D61">
        <w:t>.</w:t>
      </w:r>
    </w:p>
  </w:footnote>
  <w:footnote w:id="64">
    <w:p w14:paraId="77ABD5D5" w14:textId="5D9084CD" w:rsidR="00876870" w:rsidRPr="00876870" w:rsidRDefault="00876870">
      <w:pPr>
        <w:pStyle w:val="FootnoteText"/>
      </w:pPr>
      <w:r w:rsidRPr="001C4185">
        <w:rPr>
          <w:rStyle w:val="FootnoteReference"/>
        </w:rPr>
        <w:footnoteRef/>
      </w:r>
      <w:r>
        <w:t xml:space="preserve"> </w:t>
      </w:r>
      <w:r w:rsidR="00497118">
        <w:t xml:space="preserve">ibid </w:t>
      </w:r>
      <w:r>
        <w:t xml:space="preserve">[30]. </w:t>
      </w:r>
    </w:p>
  </w:footnote>
  <w:footnote w:id="65">
    <w:p w14:paraId="2FD0B739" w14:textId="1DF04AA0" w:rsidR="009E5E26" w:rsidRPr="009E5E26" w:rsidRDefault="009E5E26">
      <w:pPr>
        <w:pStyle w:val="FootnoteText"/>
      </w:pPr>
      <w:r w:rsidRPr="001C4185">
        <w:rPr>
          <w:rStyle w:val="FootnoteReference"/>
        </w:rPr>
        <w:footnoteRef/>
      </w:r>
      <w:r>
        <w:t xml:space="preserve"> </w:t>
      </w:r>
      <w:r w:rsidR="00497118">
        <w:t xml:space="preserve">ibid </w:t>
      </w:r>
      <w:r>
        <w:t xml:space="preserve">[188]. </w:t>
      </w:r>
    </w:p>
  </w:footnote>
  <w:footnote w:id="66">
    <w:p w14:paraId="765614B0" w14:textId="484CA65A" w:rsidR="003A3236" w:rsidRPr="003A3236" w:rsidRDefault="003A3236">
      <w:pPr>
        <w:pStyle w:val="FootnoteText"/>
      </w:pPr>
      <w:r w:rsidRPr="001C4185">
        <w:rPr>
          <w:rStyle w:val="FootnoteReference"/>
        </w:rPr>
        <w:footnoteRef/>
      </w:r>
      <w:r>
        <w:t xml:space="preserve"> </w:t>
      </w:r>
      <w:r w:rsidR="00497118">
        <w:t xml:space="preserve">ibid </w:t>
      </w:r>
      <w:r>
        <w:t>[194].</w:t>
      </w:r>
    </w:p>
  </w:footnote>
  <w:footnote w:id="67">
    <w:p w14:paraId="3D029122" w14:textId="544BBCEB" w:rsidR="00160524" w:rsidRPr="00160524" w:rsidRDefault="00160524">
      <w:pPr>
        <w:pStyle w:val="FootnoteText"/>
      </w:pPr>
      <w:r w:rsidRPr="001C4185">
        <w:rPr>
          <w:rStyle w:val="FootnoteReference"/>
        </w:rPr>
        <w:footnoteRef/>
      </w:r>
      <w:r>
        <w:t xml:space="preserve"> </w:t>
      </w:r>
      <w:r w:rsidRPr="00160524">
        <w:t>[2023] EWCA Civ 873</w:t>
      </w:r>
      <w:r>
        <w:t xml:space="preserve"> esp [122] and [169]-[175].</w:t>
      </w:r>
    </w:p>
  </w:footnote>
  <w:footnote w:id="68">
    <w:p w14:paraId="2E3D5399" w14:textId="72B58EDC" w:rsidR="00D778E5" w:rsidRPr="00D778E5" w:rsidRDefault="00D778E5">
      <w:pPr>
        <w:pStyle w:val="FootnoteText"/>
      </w:pPr>
      <w:r>
        <w:rPr>
          <w:rStyle w:val="FootnoteReference"/>
        </w:rPr>
        <w:footnoteRef/>
      </w:r>
      <w:r>
        <w:t xml:space="preserve"> </w:t>
      </w:r>
      <w:r>
        <w:rPr>
          <w:i/>
          <w:iCs/>
        </w:rPr>
        <w:t>Associated Provincial Picture Houses Ltd v Wednesbury Corp</w:t>
      </w:r>
      <w:r w:rsidR="00514CD7">
        <w:rPr>
          <w:i/>
          <w:iCs/>
        </w:rPr>
        <w:t>oration</w:t>
      </w:r>
      <w:r w:rsidR="0097374B">
        <w:rPr>
          <w:i/>
          <w:iCs/>
        </w:rPr>
        <w:t xml:space="preserve"> </w:t>
      </w:r>
      <w:r>
        <w:t>[19</w:t>
      </w:r>
      <w:r w:rsidR="0097374B">
        <w:t xml:space="preserve">48] </w:t>
      </w:r>
      <w:r w:rsidR="0014601E">
        <w:t xml:space="preserve">1 </w:t>
      </w:r>
      <w:r w:rsidR="0097374B">
        <w:t>KB 223.</w:t>
      </w:r>
    </w:p>
  </w:footnote>
  <w:footnote w:id="69">
    <w:p w14:paraId="059EA160" w14:textId="77777777" w:rsidR="00066F5B" w:rsidRPr="00446945" w:rsidRDefault="00066F5B" w:rsidP="00066F5B">
      <w:pPr>
        <w:pStyle w:val="FootnoteText"/>
      </w:pPr>
      <w:r w:rsidRPr="001C4185">
        <w:rPr>
          <w:rStyle w:val="FootnoteReference"/>
        </w:rPr>
        <w:footnoteRef/>
      </w:r>
      <w:r>
        <w:t xml:space="preserve"> </w:t>
      </w:r>
      <w:r w:rsidRPr="00446945">
        <w:rPr>
          <w:i/>
          <w:iCs/>
        </w:rPr>
        <w:t>R (Friends of the Earth Ltd) v Secretary of State for Energy Security and Net Zero</w:t>
      </w:r>
      <w:r>
        <w:rPr>
          <w:i/>
          <w:iCs/>
        </w:rPr>
        <w:t xml:space="preserve"> </w:t>
      </w:r>
      <w:r w:rsidRPr="00446945">
        <w:t>[2024] EWHC 995 (Admin)</w:t>
      </w:r>
      <w:r>
        <w:t xml:space="preserve">. </w:t>
      </w:r>
    </w:p>
  </w:footnote>
  <w:footnote w:id="70">
    <w:p w14:paraId="55A59A74" w14:textId="61C372B9" w:rsidR="00066F5B" w:rsidRDefault="00066F5B">
      <w:pPr>
        <w:pStyle w:val="FootnoteText"/>
      </w:pPr>
      <w:r w:rsidRPr="001C4185">
        <w:rPr>
          <w:rStyle w:val="FootnoteReference"/>
        </w:rPr>
        <w:footnoteRef/>
      </w:r>
      <w:r>
        <w:t xml:space="preserve"> ibid [127]. </w:t>
      </w:r>
    </w:p>
  </w:footnote>
  <w:footnote w:id="71">
    <w:p w14:paraId="2752850E" w14:textId="431CDDCD" w:rsidR="00497854" w:rsidRDefault="00497854">
      <w:pPr>
        <w:pStyle w:val="FootnoteText"/>
      </w:pPr>
      <w:r>
        <w:rPr>
          <w:rStyle w:val="FootnoteReference"/>
        </w:rPr>
        <w:footnoteRef/>
      </w:r>
      <w:r>
        <w:t xml:space="preserve"> </w:t>
      </w:r>
      <w:r w:rsidR="003D0809" w:rsidRPr="003D0809">
        <w:t>[2024] ECHR 304</w:t>
      </w:r>
      <w:r w:rsidR="003D0809">
        <w:t xml:space="preserve">. </w:t>
      </w:r>
    </w:p>
  </w:footnote>
  <w:footnote w:id="72">
    <w:p w14:paraId="5E7008BA" w14:textId="6181FAE4" w:rsidR="00EA4A22" w:rsidRDefault="00EA4A22">
      <w:pPr>
        <w:pStyle w:val="FootnoteText"/>
      </w:pPr>
      <w:r w:rsidRPr="001C4185">
        <w:rPr>
          <w:rStyle w:val="FootnoteReference"/>
        </w:rPr>
        <w:footnoteRef/>
      </w:r>
      <w:r>
        <w:t xml:space="preserve"> </w:t>
      </w:r>
      <w:r>
        <w:fldChar w:fldCharType="begin"/>
      </w:r>
      <w:r w:rsidR="009824B3">
        <w:instrText xml:space="preserve"> ADDIN ZOTERO_ITEM CSL_CITATION {"citationID":"4pYstSEV","properties":{"formattedCitation":"Carnwath (n 52).","plainCitation":"Carnwath (n 52).","dontUpdate":true,"noteIndex":71},"citationItems":[{"id":3498,"uris":["http://zotero.org/users/7352693/items/NKZMLT3I"],"itemData":{"id":3498,"type":"article-journal","language":"en","source":"Zotero","title":"ClientEarth v Shell: What future for derivative claims?","author":[{"family":"Carnwath","given":"Lord Robert"}],"issued":{"date-parts":[["2024",2]]},"citation-key":"carnwathClientEarthShellWhat2024"}}],"schema":"https://github.com/citation-style-language/schema/raw/master/csl-citation.json"} </w:instrText>
      </w:r>
      <w:r>
        <w:fldChar w:fldCharType="separate"/>
      </w:r>
      <w:r w:rsidR="00BB00B9" w:rsidRPr="00BB00B9">
        <w:t>Carnwath (n 5</w:t>
      </w:r>
      <w:r w:rsidR="00630DCB">
        <w:t>2</w:t>
      </w:r>
      <w:r w:rsidR="00BB00B9" w:rsidRPr="00BB00B9">
        <w:t>).</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E54E4"/>
    <w:multiLevelType w:val="multilevel"/>
    <w:tmpl w:val="39E6766A"/>
    <w:lvl w:ilvl="0">
      <w:start w:val="1"/>
      <w:numFmt w:val="decimal"/>
      <w:pStyle w:val="Notebody"/>
      <w:lvlText w:val="%1."/>
      <w:lvlJc w:val="left"/>
      <w:pPr>
        <w:tabs>
          <w:tab w:val="num" w:pos="562"/>
        </w:tabs>
        <w:ind w:left="562" w:hanging="562"/>
      </w:pPr>
      <w:rPr>
        <w:b w:val="0"/>
        <w:bCs/>
        <w:i w:val="0"/>
      </w:rPr>
    </w:lvl>
    <w:lvl w:ilvl="1">
      <w:start w:val="1"/>
      <w:numFmt w:val="lowerRoman"/>
      <w:pStyle w:val="Mainbody"/>
      <w:lvlText w:val="%2."/>
      <w:lvlJc w:val="left"/>
      <w:pPr>
        <w:ind w:left="108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B4100"/>
    <w:multiLevelType w:val="hybridMultilevel"/>
    <w:tmpl w:val="41B06E2C"/>
    <w:lvl w:ilvl="0" w:tplc="210067F2">
      <w:start w:val="1"/>
      <w:numFmt w:val="lowerRoman"/>
      <w:lvlText w:val="%1)"/>
      <w:lvlJc w:val="left"/>
      <w:pPr>
        <w:ind w:left="1151" w:hanging="72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2" w15:restartNumberingAfterBreak="0">
    <w:nsid w:val="2B214E5F"/>
    <w:multiLevelType w:val="hybridMultilevel"/>
    <w:tmpl w:val="382EB448"/>
    <w:lvl w:ilvl="0" w:tplc="5E5208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6B44E1F"/>
    <w:multiLevelType w:val="hybridMultilevel"/>
    <w:tmpl w:val="FE3865DA"/>
    <w:lvl w:ilvl="0" w:tplc="BE66F4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D70B9F"/>
    <w:multiLevelType w:val="multilevel"/>
    <w:tmpl w:val="7D1AE69E"/>
    <w:lvl w:ilvl="0">
      <w:start w:val="1"/>
      <w:numFmt w:val="decimal"/>
      <w:pStyle w:val="ParaLevel1"/>
      <w:lvlText w:val="%1."/>
      <w:lvlJc w:val="left"/>
      <w:pPr>
        <w:ind w:left="360" w:hanging="360"/>
      </w:pPr>
      <w:rPr>
        <w:rFonts w:ascii="Calibri" w:hAnsi="Calibri" w:hint="default"/>
        <w:b w:val="0"/>
        <w:i w:val="0"/>
        <w:sz w:val="26"/>
        <w:u w:val="none"/>
      </w:rPr>
    </w:lvl>
    <w:lvl w:ilvl="1">
      <w:start w:val="1"/>
      <w:numFmt w:val="lowerRoman"/>
      <w:pStyle w:val="ParaLevel2"/>
      <w:lvlText w:val="(%2)"/>
      <w:lvlJc w:val="left"/>
      <w:pPr>
        <w:tabs>
          <w:tab w:val="num" w:pos="1418"/>
        </w:tabs>
        <w:ind w:left="720" w:firstLine="0"/>
      </w:pPr>
      <w:rPr>
        <w:rFonts w:hint="default"/>
        <w:b w:val="0"/>
        <w:i w:val="0"/>
      </w:rPr>
    </w:lvl>
    <w:lvl w:ilvl="2">
      <w:start w:val="1"/>
      <w:numFmt w:val="lowerLetter"/>
      <w:pStyle w:val="ParaLevel3"/>
      <w:lvlText w:val="(%3)"/>
      <w:lvlJc w:val="left"/>
      <w:pPr>
        <w:tabs>
          <w:tab w:val="num" w:pos="2127"/>
        </w:tabs>
        <w:ind w:left="1411" w:firstLine="7"/>
      </w:pPr>
      <w:rPr>
        <w:rFonts w:hint="default"/>
      </w:rPr>
    </w:lvl>
    <w:lvl w:ilvl="3">
      <w:start w:val="1"/>
      <w:numFmt w:val="lowerRoman"/>
      <w:lvlText w:val="(%4)"/>
      <w:lvlJc w:val="left"/>
      <w:pPr>
        <w:tabs>
          <w:tab w:val="num" w:pos="2836"/>
        </w:tabs>
        <w:ind w:left="2131" w:hanging="4"/>
      </w:pPr>
      <w:rPr>
        <w:rFonts w:hint="default"/>
      </w:rPr>
    </w:lvl>
    <w:lvl w:ilvl="4">
      <w:start w:val="1"/>
      <w:numFmt w:val="lowerLetter"/>
      <w:lvlText w:val="(%5)"/>
      <w:lvlJc w:val="left"/>
      <w:pPr>
        <w:tabs>
          <w:tab w:val="num" w:pos="3545"/>
        </w:tabs>
        <w:ind w:left="2837" w:hanging="1"/>
      </w:pPr>
      <w:rPr>
        <w:rFonts w:hint="default"/>
      </w:rPr>
    </w:lvl>
    <w:lvl w:ilvl="5">
      <w:start w:val="1"/>
      <w:numFmt w:val="lowerRoman"/>
      <w:lvlText w:val="(%6)"/>
      <w:lvlJc w:val="left"/>
      <w:pPr>
        <w:tabs>
          <w:tab w:val="num" w:pos="4254"/>
        </w:tabs>
        <w:ind w:left="3542" w:firstLine="3"/>
      </w:pPr>
      <w:rPr>
        <w:rFonts w:hint="default"/>
      </w:rPr>
    </w:lvl>
    <w:lvl w:ilvl="6">
      <w:start w:val="1"/>
      <w:numFmt w:val="lowerLetter"/>
      <w:lvlText w:val="(%7)"/>
      <w:lvlJc w:val="left"/>
      <w:pPr>
        <w:tabs>
          <w:tab w:val="num" w:pos="4963"/>
        </w:tabs>
        <w:ind w:left="4248" w:firstLine="6"/>
      </w:pPr>
      <w:rPr>
        <w:rFonts w:hint="default"/>
      </w:rPr>
    </w:lvl>
    <w:lvl w:ilvl="7">
      <w:start w:val="1"/>
      <w:numFmt w:val="lowerRoman"/>
      <w:lvlText w:val="(%8)"/>
      <w:lvlJc w:val="left"/>
      <w:pPr>
        <w:tabs>
          <w:tab w:val="num" w:pos="5672"/>
        </w:tabs>
        <w:ind w:left="4968" w:hanging="5"/>
      </w:pPr>
      <w:rPr>
        <w:rFonts w:hint="default"/>
      </w:rPr>
    </w:lvl>
    <w:lvl w:ilvl="8">
      <w:start w:val="1"/>
      <w:numFmt w:val="lowerLetter"/>
      <w:lvlText w:val="(%9)"/>
      <w:lvlJc w:val="left"/>
      <w:pPr>
        <w:tabs>
          <w:tab w:val="num" w:pos="6381"/>
        </w:tabs>
        <w:ind w:left="5674" w:hanging="2"/>
      </w:pPr>
      <w:rPr>
        <w:rFonts w:hint="default"/>
      </w:rPr>
    </w:lvl>
  </w:abstractNum>
  <w:num w:numId="1" w16cid:durableId="1890264712">
    <w:abstractNumId w:val="3"/>
  </w:num>
  <w:num w:numId="2" w16cid:durableId="241263568">
    <w:abstractNumId w:val="4"/>
  </w:num>
  <w:num w:numId="3" w16cid:durableId="809176415">
    <w:abstractNumId w:val="2"/>
  </w:num>
  <w:num w:numId="4" w16cid:durableId="518400049">
    <w:abstractNumId w:val="1"/>
  </w:num>
  <w:num w:numId="5" w16cid:durableId="82190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26"/>
    <w:rsid w:val="0000145B"/>
    <w:rsid w:val="00001AC1"/>
    <w:rsid w:val="00003085"/>
    <w:rsid w:val="00005E9A"/>
    <w:rsid w:val="00005EFA"/>
    <w:rsid w:val="00007666"/>
    <w:rsid w:val="000079FC"/>
    <w:rsid w:val="00011BC7"/>
    <w:rsid w:val="00011DD9"/>
    <w:rsid w:val="000120D4"/>
    <w:rsid w:val="00012A84"/>
    <w:rsid w:val="000138F8"/>
    <w:rsid w:val="00013B52"/>
    <w:rsid w:val="0001454F"/>
    <w:rsid w:val="00015F5E"/>
    <w:rsid w:val="000160BF"/>
    <w:rsid w:val="000201A0"/>
    <w:rsid w:val="000201B7"/>
    <w:rsid w:val="00020780"/>
    <w:rsid w:val="00021360"/>
    <w:rsid w:val="00023115"/>
    <w:rsid w:val="000235EB"/>
    <w:rsid w:val="000238B6"/>
    <w:rsid w:val="0002422B"/>
    <w:rsid w:val="00024E38"/>
    <w:rsid w:val="00025805"/>
    <w:rsid w:val="00025DE4"/>
    <w:rsid w:val="0002713E"/>
    <w:rsid w:val="00030649"/>
    <w:rsid w:val="000306D0"/>
    <w:rsid w:val="0003110C"/>
    <w:rsid w:val="0003122A"/>
    <w:rsid w:val="0003151C"/>
    <w:rsid w:val="00032733"/>
    <w:rsid w:val="000333DE"/>
    <w:rsid w:val="00034031"/>
    <w:rsid w:val="0003417F"/>
    <w:rsid w:val="00034CB0"/>
    <w:rsid w:val="0003535A"/>
    <w:rsid w:val="00035CB2"/>
    <w:rsid w:val="0003636C"/>
    <w:rsid w:val="00036594"/>
    <w:rsid w:val="00036666"/>
    <w:rsid w:val="000368DE"/>
    <w:rsid w:val="00037385"/>
    <w:rsid w:val="00037E3B"/>
    <w:rsid w:val="000401C9"/>
    <w:rsid w:val="00041409"/>
    <w:rsid w:val="00041B81"/>
    <w:rsid w:val="00043352"/>
    <w:rsid w:val="00044014"/>
    <w:rsid w:val="00045CC8"/>
    <w:rsid w:val="00046504"/>
    <w:rsid w:val="000474F3"/>
    <w:rsid w:val="00047A52"/>
    <w:rsid w:val="00050187"/>
    <w:rsid w:val="0005031B"/>
    <w:rsid w:val="0005075A"/>
    <w:rsid w:val="00051218"/>
    <w:rsid w:val="00051A98"/>
    <w:rsid w:val="00052938"/>
    <w:rsid w:val="00052DEB"/>
    <w:rsid w:val="0005393D"/>
    <w:rsid w:val="00053F8E"/>
    <w:rsid w:val="00055D05"/>
    <w:rsid w:val="000602B9"/>
    <w:rsid w:val="00062FF8"/>
    <w:rsid w:val="00063316"/>
    <w:rsid w:val="00063938"/>
    <w:rsid w:val="0006419E"/>
    <w:rsid w:val="0006475D"/>
    <w:rsid w:val="00064BC8"/>
    <w:rsid w:val="00064BCC"/>
    <w:rsid w:val="00065A50"/>
    <w:rsid w:val="00065F97"/>
    <w:rsid w:val="00066798"/>
    <w:rsid w:val="00066D3E"/>
    <w:rsid w:val="00066F5B"/>
    <w:rsid w:val="00067CD2"/>
    <w:rsid w:val="00070A8A"/>
    <w:rsid w:val="000719E0"/>
    <w:rsid w:val="00072131"/>
    <w:rsid w:val="00072203"/>
    <w:rsid w:val="0007366C"/>
    <w:rsid w:val="00073B78"/>
    <w:rsid w:val="000755F8"/>
    <w:rsid w:val="00075A48"/>
    <w:rsid w:val="00075CF7"/>
    <w:rsid w:val="00077C31"/>
    <w:rsid w:val="000803F2"/>
    <w:rsid w:val="00080405"/>
    <w:rsid w:val="00080636"/>
    <w:rsid w:val="00080960"/>
    <w:rsid w:val="00081AE8"/>
    <w:rsid w:val="00082F87"/>
    <w:rsid w:val="00083610"/>
    <w:rsid w:val="00083943"/>
    <w:rsid w:val="00084A93"/>
    <w:rsid w:val="000853D8"/>
    <w:rsid w:val="00085503"/>
    <w:rsid w:val="00085660"/>
    <w:rsid w:val="00085919"/>
    <w:rsid w:val="00085DA2"/>
    <w:rsid w:val="0008650E"/>
    <w:rsid w:val="000865D7"/>
    <w:rsid w:val="00086BBD"/>
    <w:rsid w:val="0009144B"/>
    <w:rsid w:val="00092077"/>
    <w:rsid w:val="0009293A"/>
    <w:rsid w:val="000930CC"/>
    <w:rsid w:val="00093DAF"/>
    <w:rsid w:val="00093DC4"/>
    <w:rsid w:val="00095A64"/>
    <w:rsid w:val="000960A7"/>
    <w:rsid w:val="00096BFA"/>
    <w:rsid w:val="00096FD6"/>
    <w:rsid w:val="000975C9"/>
    <w:rsid w:val="00097A4C"/>
    <w:rsid w:val="000A0600"/>
    <w:rsid w:val="000A2426"/>
    <w:rsid w:val="000A3110"/>
    <w:rsid w:val="000A37FF"/>
    <w:rsid w:val="000A3891"/>
    <w:rsid w:val="000A3A61"/>
    <w:rsid w:val="000A3D71"/>
    <w:rsid w:val="000A42B0"/>
    <w:rsid w:val="000A43F2"/>
    <w:rsid w:val="000A4DA5"/>
    <w:rsid w:val="000A5401"/>
    <w:rsid w:val="000A5FCB"/>
    <w:rsid w:val="000A61FE"/>
    <w:rsid w:val="000A7688"/>
    <w:rsid w:val="000A789C"/>
    <w:rsid w:val="000A7C18"/>
    <w:rsid w:val="000B010F"/>
    <w:rsid w:val="000B012C"/>
    <w:rsid w:val="000B29D6"/>
    <w:rsid w:val="000B2A0F"/>
    <w:rsid w:val="000B2E49"/>
    <w:rsid w:val="000B36F8"/>
    <w:rsid w:val="000B388A"/>
    <w:rsid w:val="000B3AAC"/>
    <w:rsid w:val="000B3D81"/>
    <w:rsid w:val="000B4B96"/>
    <w:rsid w:val="000B4E6B"/>
    <w:rsid w:val="000B5353"/>
    <w:rsid w:val="000B58AF"/>
    <w:rsid w:val="000B6EB3"/>
    <w:rsid w:val="000B6F9E"/>
    <w:rsid w:val="000B7C58"/>
    <w:rsid w:val="000C154C"/>
    <w:rsid w:val="000C1762"/>
    <w:rsid w:val="000C17B1"/>
    <w:rsid w:val="000C18FE"/>
    <w:rsid w:val="000C37C1"/>
    <w:rsid w:val="000C3999"/>
    <w:rsid w:val="000C463E"/>
    <w:rsid w:val="000C47B8"/>
    <w:rsid w:val="000C48E6"/>
    <w:rsid w:val="000C4BC0"/>
    <w:rsid w:val="000C69CB"/>
    <w:rsid w:val="000C72CA"/>
    <w:rsid w:val="000C7CF8"/>
    <w:rsid w:val="000D1982"/>
    <w:rsid w:val="000D2B8F"/>
    <w:rsid w:val="000D2B9E"/>
    <w:rsid w:val="000D3DAE"/>
    <w:rsid w:val="000D45E0"/>
    <w:rsid w:val="000D49B2"/>
    <w:rsid w:val="000D5AD8"/>
    <w:rsid w:val="000D68D6"/>
    <w:rsid w:val="000D6D7E"/>
    <w:rsid w:val="000D75BB"/>
    <w:rsid w:val="000D7D51"/>
    <w:rsid w:val="000E0261"/>
    <w:rsid w:val="000E0A24"/>
    <w:rsid w:val="000E1066"/>
    <w:rsid w:val="000E1548"/>
    <w:rsid w:val="000E1654"/>
    <w:rsid w:val="000E16CA"/>
    <w:rsid w:val="000E18F6"/>
    <w:rsid w:val="000E2270"/>
    <w:rsid w:val="000E2337"/>
    <w:rsid w:val="000E250A"/>
    <w:rsid w:val="000E2E8A"/>
    <w:rsid w:val="000E4BAF"/>
    <w:rsid w:val="000E7282"/>
    <w:rsid w:val="000E798E"/>
    <w:rsid w:val="000F0376"/>
    <w:rsid w:val="000F0D1C"/>
    <w:rsid w:val="000F11B7"/>
    <w:rsid w:val="000F1896"/>
    <w:rsid w:val="000F37E3"/>
    <w:rsid w:val="000F41FE"/>
    <w:rsid w:val="000F4301"/>
    <w:rsid w:val="000F4DEA"/>
    <w:rsid w:val="000F5AC3"/>
    <w:rsid w:val="000F625B"/>
    <w:rsid w:val="000F6A7F"/>
    <w:rsid w:val="000F6C25"/>
    <w:rsid w:val="000F6DF7"/>
    <w:rsid w:val="0010054B"/>
    <w:rsid w:val="0010065E"/>
    <w:rsid w:val="00100738"/>
    <w:rsid w:val="00100A65"/>
    <w:rsid w:val="0010122C"/>
    <w:rsid w:val="00102082"/>
    <w:rsid w:val="001027B7"/>
    <w:rsid w:val="00103227"/>
    <w:rsid w:val="00103444"/>
    <w:rsid w:val="0010430B"/>
    <w:rsid w:val="00106B36"/>
    <w:rsid w:val="00106E35"/>
    <w:rsid w:val="00106EA7"/>
    <w:rsid w:val="00107315"/>
    <w:rsid w:val="00107FAC"/>
    <w:rsid w:val="001118C8"/>
    <w:rsid w:val="00112101"/>
    <w:rsid w:val="00112617"/>
    <w:rsid w:val="0011272D"/>
    <w:rsid w:val="00112B08"/>
    <w:rsid w:val="00112E1F"/>
    <w:rsid w:val="00112EAA"/>
    <w:rsid w:val="00113C8A"/>
    <w:rsid w:val="00114A0D"/>
    <w:rsid w:val="001157A2"/>
    <w:rsid w:val="00116086"/>
    <w:rsid w:val="00116866"/>
    <w:rsid w:val="00117E5D"/>
    <w:rsid w:val="0012039D"/>
    <w:rsid w:val="00121EF9"/>
    <w:rsid w:val="00124079"/>
    <w:rsid w:val="0012539B"/>
    <w:rsid w:val="00125720"/>
    <w:rsid w:val="001257C6"/>
    <w:rsid w:val="00125815"/>
    <w:rsid w:val="00126B24"/>
    <w:rsid w:val="00127910"/>
    <w:rsid w:val="00130B13"/>
    <w:rsid w:val="00131F6C"/>
    <w:rsid w:val="00132D57"/>
    <w:rsid w:val="001333A5"/>
    <w:rsid w:val="00134002"/>
    <w:rsid w:val="001356B0"/>
    <w:rsid w:val="001358DD"/>
    <w:rsid w:val="001363BC"/>
    <w:rsid w:val="001369E6"/>
    <w:rsid w:val="00140F02"/>
    <w:rsid w:val="0014116E"/>
    <w:rsid w:val="00141986"/>
    <w:rsid w:val="00142652"/>
    <w:rsid w:val="00143BCC"/>
    <w:rsid w:val="00144601"/>
    <w:rsid w:val="00145327"/>
    <w:rsid w:val="001459C4"/>
    <w:rsid w:val="0014601E"/>
    <w:rsid w:val="0014606C"/>
    <w:rsid w:val="00146BCC"/>
    <w:rsid w:val="00146C37"/>
    <w:rsid w:val="00147FB5"/>
    <w:rsid w:val="001509B4"/>
    <w:rsid w:val="00150EF8"/>
    <w:rsid w:val="0015236E"/>
    <w:rsid w:val="001536C4"/>
    <w:rsid w:val="00153DBC"/>
    <w:rsid w:val="001545B4"/>
    <w:rsid w:val="00154FDE"/>
    <w:rsid w:val="00155547"/>
    <w:rsid w:val="001555D7"/>
    <w:rsid w:val="00155FBC"/>
    <w:rsid w:val="00156904"/>
    <w:rsid w:val="00157705"/>
    <w:rsid w:val="001602B7"/>
    <w:rsid w:val="00160524"/>
    <w:rsid w:val="00160CAF"/>
    <w:rsid w:val="00160DB2"/>
    <w:rsid w:val="00160F2D"/>
    <w:rsid w:val="001619E3"/>
    <w:rsid w:val="00161FA6"/>
    <w:rsid w:val="001623F0"/>
    <w:rsid w:val="0016497A"/>
    <w:rsid w:val="00165752"/>
    <w:rsid w:val="00165874"/>
    <w:rsid w:val="00170355"/>
    <w:rsid w:val="0017223A"/>
    <w:rsid w:val="001732C9"/>
    <w:rsid w:val="00173439"/>
    <w:rsid w:val="00174022"/>
    <w:rsid w:val="001745CC"/>
    <w:rsid w:val="001748A9"/>
    <w:rsid w:val="00174F2C"/>
    <w:rsid w:val="00175D9D"/>
    <w:rsid w:val="00176E27"/>
    <w:rsid w:val="00176EDE"/>
    <w:rsid w:val="00176F31"/>
    <w:rsid w:val="001778E7"/>
    <w:rsid w:val="0018019C"/>
    <w:rsid w:val="00180DDA"/>
    <w:rsid w:val="00181D7B"/>
    <w:rsid w:val="00182049"/>
    <w:rsid w:val="00182293"/>
    <w:rsid w:val="00182802"/>
    <w:rsid w:val="00182BDB"/>
    <w:rsid w:val="00183297"/>
    <w:rsid w:val="00183489"/>
    <w:rsid w:val="00184349"/>
    <w:rsid w:val="00184848"/>
    <w:rsid w:val="00186490"/>
    <w:rsid w:val="00186B8A"/>
    <w:rsid w:val="00187B85"/>
    <w:rsid w:val="00190EA4"/>
    <w:rsid w:val="001947A3"/>
    <w:rsid w:val="00194EB0"/>
    <w:rsid w:val="00195723"/>
    <w:rsid w:val="00195C01"/>
    <w:rsid w:val="001970AE"/>
    <w:rsid w:val="001971E2"/>
    <w:rsid w:val="001A0356"/>
    <w:rsid w:val="001A1F03"/>
    <w:rsid w:val="001A1F68"/>
    <w:rsid w:val="001A2238"/>
    <w:rsid w:val="001A24BC"/>
    <w:rsid w:val="001A2C84"/>
    <w:rsid w:val="001A3550"/>
    <w:rsid w:val="001A3F20"/>
    <w:rsid w:val="001A408A"/>
    <w:rsid w:val="001A57B3"/>
    <w:rsid w:val="001A6865"/>
    <w:rsid w:val="001A6962"/>
    <w:rsid w:val="001A6D24"/>
    <w:rsid w:val="001B0176"/>
    <w:rsid w:val="001B1F36"/>
    <w:rsid w:val="001B1F48"/>
    <w:rsid w:val="001B3AFF"/>
    <w:rsid w:val="001B446B"/>
    <w:rsid w:val="001B560D"/>
    <w:rsid w:val="001B593C"/>
    <w:rsid w:val="001B6DCE"/>
    <w:rsid w:val="001B6F95"/>
    <w:rsid w:val="001C0286"/>
    <w:rsid w:val="001C0910"/>
    <w:rsid w:val="001C1724"/>
    <w:rsid w:val="001C1B06"/>
    <w:rsid w:val="001C27C0"/>
    <w:rsid w:val="001C27CA"/>
    <w:rsid w:val="001C2FC6"/>
    <w:rsid w:val="001C4185"/>
    <w:rsid w:val="001C476F"/>
    <w:rsid w:val="001C4E80"/>
    <w:rsid w:val="001C59E1"/>
    <w:rsid w:val="001C682E"/>
    <w:rsid w:val="001C711D"/>
    <w:rsid w:val="001C77E9"/>
    <w:rsid w:val="001C79C4"/>
    <w:rsid w:val="001C7F78"/>
    <w:rsid w:val="001D00F3"/>
    <w:rsid w:val="001D0E9C"/>
    <w:rsid w:val="001D1533"/>
    <w:rsid w:val="001D391E"/>
    <w:rsid w:val="001D3AB2"/>
    <w:rsid w:val="001D3C06"/>
    <w:rsid w:val="001D441B"/>
    <w:rsid w:val="001D4C72"/>
    <w:rsid w:val="001D4C9B"/>
    <w:rsid w:val="001D4FF1"/>
    <w:rsid w:val="001D509C"/>
    <w:rsid w:val="001D65A9"/>
    <w:rsid w:val="001D67AA"/>
    <w:rsid w:val="001D790C"/>
    <w:rsid w:val="001E1F53"/>
    <w:rsid w:val="001E21D3"/>
    <w:rsid w:val="001E25D7"/>
    <w:rsid w:val="001E27B3"/>
    <w:rsid w:val="001E2EBE"/>
    <w:rsid w:val="001E42D3"/>
    <w:rsid w:val="001E4FD9"/>
    <w:rsid w:val="001E4FDA"/>
    <w:rsid w:val="001E5A13"/>
    <w:rsid w:val="001E6A59"/>
    <w:rsid w:val="001E7104"/>
    <w:rsid w:val="001E766D"/>
    <w:rsid w:val="001E7BA1"/>
    <w:rsid w:val="001F2870"/>
    <w:rsid w:val="001F2EC3"/>
    <w:rsid w:val="001F3445"/>
    <w:rsid w:val="001F5103"/>
    <w:rsid w:val="001F520B"/>
    <w:rsid w:val="001F6278"/>
    <w:rsid w:val="001F632B"/>
    <w:rsid w:val="001F663E"/>
    <w:rsid w:val="001F699B"/>
    <w:rsid w:val="001F75EA"/>
    <w:rsid w:val="001F7C89"/>
    <w:rsid w:val="001F7E3C"/>
    <w:rsid w:val="00200545"/>
    <w:rsid w:val="002023CE"/>
    <w:rsid w:val="00202E82"/>
    <w:rsid w:val="00203699"/>
    <w:rsid w:val="00203AC5"/>
    <w:rsid w:val="00203E72"/>
    <w:rsid w:val="002042FF"/>
    <w:rsid w:val="00204F77"/>
    <w:rsid w:val="002050EE"/>
    <w:rsid w:val="00205857"/>
    <w:rsid w:val="00205B3A"/>
    <w:rsid w:val="002066AC"/>
    <w:rsid w:val="00207694"/>
    <w:rsid w:val="002079EB"/>
    <w:rsid w:val="00210787"/>
    <w:rsid w:val="00210F0A"/>
    <w:rsid w:val="0021258E"/>
    <w:rsid w:val="00212FCB"/>
    <w:rsid w:val="002131F9"/>
    <w:rsid w:val="002134F0"/>
    <w:rsid w:val="00213EBC"/>
    <w:rsid w:val="0021405A"/>
    <w:rsid w:val="00214B6D"/>
    <w:rsid w:val="00215ABD"/>
    <w:rsid w:val="002162B8"/>
    <w:rsid w:val="00216D00"/>
    <w:rsid w:val="00220D53"/>
    <w:rsid w:val="00220F27"/>
    <w:rsid w:val="00221E3B"/>
    <w:rsid w:val="0022241C"/>
    <w:rsid w:val="00222697"/>
    <w:rsid w:val="00223CEB"/>
    <w:rsid w:val="00224A5A"/>
    <w:rsid w:val="00225A3A"/>
    <w:rsid w:val="002263FF"/>
    <w:rsid w:val="0023161C"/>
    <w:rsid w:val="00231644"/>
    <w:rsid w:val="00231BC2"/>
    <w:rsid w:val="00231D7C"/>
    <w:rsid w:val="0023291D"/>
    <w:rsid w:val="00233763"/>
    <w:rsid w:val="002337CE"/>
    <w:rsid w:val="00233C02"/>
    <w:rsid w:val="0023563C"/>
    <w:rsid w:val="00235B48"/>
    <w:rsid w:val="00235DA3"/>
    <w:rsid w:val="00235F3F"/>
    <w:rsid w:val="00236CEC"/>
    <w:rsid w:val="00237B17"/>
    <w:rsid w:val="0024044E"/>
    <w:rsid w:val="002404D9"/>
    <w:rsid w:val="0024051F"/>
    <w:rsid w:val="0024078D"/>
    <w:rsid w:val="002408A8"/>
    <w:rsid w:val="00241143"/>
    <w:rsid w:val="0024158B"/>
    <w:rsid w:val="002415D2"/>
    <w:rsid w:val="0024184C"/>
    <w:rsid w:val="00241D9F"/>
    <w:rsid w:val="0024242D"/>
    <w:rsid w:val="00242650"/>
    <w:rsid w:val="00242E73"/>
    <w:rsid w:val="0024389F"/>
    <w:rsid w:val="00244B01"/>
    <w:rsid w:val="00245716"/>
    <w:rsid w:val="00245A5D"/>
    <w:rsid w:val="00246064"/>
    <w:rsid w:val="00246BA9"/>
    <w:rsid w:val="00247421"/>
    <w:rsid w:val="00247F48"/>
    <w:rsid w:val="002514AC"/>
    <w:rsid w:val="0025274B"/>
    <w:rsid w:val="0025348D"/>
    <w:rsid w:val="002537F2"/>
    <w:rsid w:val="00253898"/>
    <w:rsid w:val="002539D2"/>
    <w:rsid w:val="00253AB0"/>
    <w:rsid w:val="00253C30"/>
    <w:rsid w:val="00254C2B"/>
    <w:rsid w:val="00254D93"/>
    <w:rsid w:val="002553EB"/>
    <w:rsid w:val="002558A7"/>
    <w:rsid w:val="0025603D"/>
    <w:rsid w:val="00256C56"/>
    <w:rsid w:val="00256C93"/>
    <w:rsid w:val="002573E9"/>
    <w:rsid w:val="002575F9"/>
    <w:rsid w:val="00257DEE"/>
    <w:rsid w:val="00260294"/>
    <w:rsid w:val="002604AB"/>
    <w:rsid w:val="00260BE9"/>
    <w:rsid w:val="00260E76"/>
    <w:rsid w:val="00261553"/>
    <w:rsid w:val="00262991"/>
    <w:rsid w:val="00262EB8"/>
    <w:rsid w:val="0026314C"/>
    <w:rsid w:val="00263878"/>
    <w:rsid w:val="002654C1"/>
    <w:rsid w:val="00265591"/>
    <w:rsid w:val="00265678"/>
    <w:rsid w:val="00265831"/>
    <w:rsid w:val="00265A27"/>
    <w:rsid w:val="00265AC3"/>
    <w:rsid w:val="00265F3E"/>
    <w:rsid w:val="00266908"/>
    <w:rsid w:val="0026753B"/>
    <w:rsid w:val="00267655"/>
    <w:rsid w:val="002702BA"/>
    <w:rsid w:val="0027143A"/>
    <w:rsid w:val="00271C38"/>
    <w:rsid w:val="002726C8"/>
    <w:rsid w:val="0027289F"/>
    <w:rsid w:val="0027321E"/>
    <w:rsid w:val="002746D2"/>
    <w:rsid w:val="0027518C"/>
    <w:rsid w:val="002768F2"/>
    <w:rsid w:val="002769AF"/>
    <w:rsid w:val="00276EBA"/>
    <w:rsid w:val="002773F6"/>
    <w:rsid w:val="00277565"/>
    <w:rsid w:val="00277DD8"/>
    <w:rsid w:val="00282777"/>
    <w:rsid w:val="00283300"/>
    <w:rsid w:val="00283869"/>
    <w:rsid w:val="00283FB9"/>
    <w:rsid w:val="00284C35"/>
    <w:rsid w:val="0028562C"/>
    <w:rsid w:val="00285B2F"/>
    <w:rsid w:val="00286399"/>
    <w:rsid w:val="00287BC9"/>
    <w:rsid w:val="00290144"/>
    <w:rsid w:val="00290FF7"/>
    <w:rsid w:val="0029127A"/>
    <w:rsid w:val="0029136D"/>
    <w:rsid w:val="00291466"/>
    <w:rsid w:val="002931FC"/>
    <w:rsid w:val="002938E7"/>
    <w:rsid w:val="00293978"/>
    <w:rsid w:val="00293C87"/>
    <w:rsid w:val="00293F22"/>
    <w:rsid w:val="00294399"/>
    <w:rsid w:val="00295114"/>
    <w:rsid w:val="0029554D"/>
    <w:rsid w:val="00296151"/>
    <w:rsid w:val="002973F4"/>
    <w:rsid w:val="002A02E3"/>
    <w:rsid w:val="002A0355"/>
    <w:rsid w:val="002A113E"/>
    <w:rsid w:val="002A133E"/>
    <w:rsid w:val="002A1513"/>
    <w:rsid w:val="002A28D4"/>
    <w:rsid w:val="002A3819"/>
    <w:rsid w:val="002A4C39"/>
    <w:rsid w:val="002A4D28"/>
    <w:rsid w:val="002A4E92"/>
    <w:rsid w:val="002A5C2C"/>
    <w:rsid w:val="002A64F2"/>
    <w:rsid w:val="002A796F"/>
    <w:rsid w:val="002B0A18"/>
    <w:rsid w:val="002B0ADD"/>
    <w:rsid w:val="002B1799"/>
    <w:rsid w:val="002B1CF8"/>
    <w:rsid w:val="002B1F3D"/>
    <w:rsid w:val="002B447D"/>
    <w:rsid w:val="002B518B"/>
    <w:rsid w:val="002B6854"/>
    <w:rsid w:val="002B7263"/>
    <w:rsid w:val="002B75F1"/>
    <w:rsid w:val="002C093C"/>
    <w:rsid w:val="002C166B"/>
    <w:rsid w:val="002C2064"/>
    <w:rsid w:val="002C221B"/>
    <w:rsid w:val="002C2279"/>
    <w:rsid w:val="002C44D8"/>
    <w:rsid w:val="002D024A"/>
    <w:rsid w:val="002D033F"/>
    <w:rsid w:val="002D1787"/>
    <w:rsid w:val="002D19C7"/>
    <w:rsid w:val="002D2F73"/>
    <w:rsid w:val="002D4556"/>
    <w:rsid w:val="002D4A72"/>
    <w:rsid w:val="002D53FB"/>
    <w:rsid w:val="002D56F1"/>
    <w:rsid w:val="002D5CB8"/>
    <w:rsid w:val="002D5E4E"/>
    <w:rsid w:val="002D689F"/>
    <w:rsid w:val="002D6DA1"/>
    <w:rsid w:val="002D7B74"/>
    <w:rsid w:val="002E0378"/>
    <w:rsid w:val="002E0667"/>
    <w:rsid w:val="002E122D"/>
    <w:rsid w:val="002E1431"/>
    <w:rsid w:val="002E1524"/>
    <w:rsid w:val="002E18B0"/>
    <w:rsid w:val="002E19D5"/>
    <w:rsid w:val="002E1BF0"/>
    <w:rsid w:val="002E1EDE"/>
    <w:rsid w:val="002E200E"/>
    <w:rsid w:val="002E2BB7"/>
    <w:rsid w:val="002E30B6"/>
    <w:rsid w:val="002E38EA"/>
    <w:rsid w:val="002E3E88"/>
    <w:rsid w:val="002E414C"/>
    <w:rsid w:val="002E5366"/>
    <w:rsid w:val="002E5819"/>
    <w:rsid w:val="002E6769"/>
    <w:rsid w:val="002E70DD"/>
    <w:rsid w:val="002E7156"/>
    <w:rsid w:val="002E74A8"/>
    <w:rsid w:val="002F1525"/>
    <w:rsid w:val="002F182E"/>
    <w:rsid w:val="002F18B5"/>
    <w:rsid w:val="002F1C54"/>
    <w:rsid w:val="002F1F5C"/>
    <w:rsid w:val="002F29DA"/>
    <w:rsid w:val="002F40CE"/>
    <w:rsid w:val="002F4B63"/>
    <w:rsid w:val="002F5746"/>
    <w:rsid w:val="002F59EC"/>
    <w:rsid w:val="002F6096"/>
    <w:rsid w:val="002F751F"/>
    <w:rsid w:val="002F7866"/>
    <w:rsid w:val="002F7CFA"/>
    <w:rsid w:val="0030025B"/>
    <w:rsid w:val="00300EB8"/>
    <w:rsid w:val="00301970"/>
    <w:rsid w:val="00302030"/>
    <w:rsid w:val="00302633"/>
    <w:rsid w:val="0030359A"/>
    <w:rsid w:val="0030416B"/>
    <w:rsid w:val="00305DBE"/>
    <w:rsid w:val="00306332"/>
    <w:rsid w:val="0030657F"/>
    <w:rsid w:val="00306A78"/>
    <w:rsid w:val="00306ED6"/>
    <w:rsid w:val="00307D81"/>
    <w:rsid w:val="00311344"/>
    <w:rsid w:val="00311806"/>
    <w:rsid w:val="00312A05"/>
    <w:rsid w:val="003141B6"/>
    <w:rsid w:val="003141FC"/>
    <w:rsid w:val="00315442"/>
    <w:rsid w:val="00316E96"/>
    <w:rsid w:val="00316EEC"/>
    <w:rsid w:val="00317818"/>
    <w:rsid w:val="003210F9"/>
    <w:rsid w:val="00321F4E"/>
    <w:rsid w:val="00323F6B"/>
    <w:rsid w:val="003248D4"/>
    <w:rsid w:val="00325F5D"/>
    <w:rsid w:val="00326A58"/>
    <w:rsid w:val="00330F2A"/>
    <w:rsid w:val="00331335"/>
    <w:rsid w:val="0033151F"/>
    <w:rsid w:val="003319D5"/>
    <w:rsid w:val="0033276C"/>
    <w:rsid w:val="0033357C"/>
    <w:rsid w:val="003338D9"/>
    <w:rsid w:val="00333E07"/>
    <w:rsid w:val="00337719"/>
    <w:rsid w:val="00340AAA"/>
    <w:rsid w:val="00341B7C"/>
    <w:rsid w:val="00341C71"/>
    <w:rsid w:val="00342472"/>
    <w:rsid w:val="0034287E"/>
    <w:rsid w:val="00343CA4"/>
    <w:rsid w:val="00344F5F"/>
    <w:rsid w:val="00346717"/>
    <w:rsid w:val="003476A3"/>
    <w:rsid w:val="0035045D"/>
    <w:rsid w:val="00351519"/>
    <w:rsid w:val="00351A7E"/>
    <w:rsid w:val="00351AF8"/>
    <w:rsid w:val="003545AB"/>
    <w:rsid w:val="00354DB8"/>
    <w:rsid w:val="003553E5"/>
    <w:rsid w:val="00357911"/>
    <w:rsid w:val="00361FC5"/>
    <w:rsid w:val="003624D4"/>
    <w:rsid w:val="0036450A"/>
    <w:rsid w:val="003651AC"/>
    <w:rsid w:val="003676AA"/>
    <w:rsid w:val="00371179"/>
    <w:rsid w:val="00371784"/>
    <w:rsid w:val="0037387A"/>
    <w:rsid w:val="00374037"/>
    <w:rsid w:val="0037406B"/>
    <w:rsid w:val="003746FC"/>
    <w:rsid w:val="00374AA5"/>
    <w:rsid w:val="003750C8"/>
    <w:rsid w:val="00375DD8"/>
    <w:rsid w:val="00375FC0"/>
    <w:rsid w:val="00376445"/>
    <w:rsid w:val="0037689F"/>
    <w:rsid w:val="0037733F"/>
    <w:rsid w:val="0038007C"/>
    <w:rsid w:val="00380084"/>
    <w:rsid w:val="003807F7"/>
    <w:rsid w:val="00383433"/>
    <w:rsid w:val="0038375D"/>
    <w:rsid w:val="00383969"/>
    <w:rsid w:val="00385B0D"/>
    <w:rsid w:val="00386D12"/>
    <w:rsid w:val="0038786A"/>
    <w:rsid w:val="003879F1"/>
    <w:rsid w:val="0039012D"/>
    <w:rsid w:val="0039019A"/>
    <w:rsid w:val="00390E32"/>
    <w:rsid w:val="00391270"/>
    <w:rsid w:val="003919DA"/>
    <w:rsid w:val="00391D3B"/>
    <w:rsid w:val="00392FB0"/>
    <w:rsid w:val="00394E56"/>
    <w:rsid w:val="0039737D"/>
    <w:rsid w:val="003975E9"/>
    <w:rsid w:val="00397D9F"/>
    <w:rsid w:val="003A0AB8"/>
    <w:rsid w:val="003A226D"/>
    <w:rsid w:val="003A2A25"/>
    <w:rsid w:val="003A3236"/>
    <w:rsid w:val="003A3AE7"/>
    <w:rsid w:val="003A6269"/>
    <w:rsid w:val="003A702E"/>
    <w:rsid w:val="003A7632"/>
    <w:rsid w:val="003A7862"/>
    <w:rsid w:val="003A7DE3"/>
    <w:rsid w:val="003B10E3"/>
    <w:rsid w:val="003B1BEB"/>
    <w:rsid w:val="003B1E46"/>
    <w:rsid w:val="003B23E1"/>
    <w:rsid w:val="003B2637"/>
    <w:rsid w:val="003B292E"/>
    <w:rsid w:val="003B30BC"/>
    <w:rsid w:val="003B4427"/>
    <w:rsid w:val="003B53C9"/>
    <w:rsid w:val="003B554B"/>
    <w:rsid w:val="003B6887"/>
    <w:rsid w:val="003B7024"/>
    <w:rsid w:val="003C0E94"/>
    <w:rsid w:val="003C1607"/>
    <w:rsid w:val="003C1E56"/>
    <w:rsid w:val="003C415F"/>
    <w:rsid w:val="003C4962"/>
    <w:rsid w:val="003C5121"/>
    <w:rsid w:val="003C56F7"/>
    <w:rsid w:val="003C5A30"/>
    <w:rsid w:val="003C5DE8"/>
    <w:rsid w:val="003C6A6B"/>
    <w:rsid w:val="003C6B97"/>
    <w:rsid w:val="003C72AC"/>
    <w:rsid w:val="003C7894"/>
    <w:rsid w:val="003D0809"/>
    <w:rsid w:val="003D0E60"/>
    <w:rsid w:val="003D1B86"/>
    <w:rsid w:val="003D2A04"/>
    <w:rsid w:val="003D3338"/>
    <w:rsid w:val="003D37CE"/>
    <w:rsid w:val="003D391D"/>
    <w:rsid w:val="003D3BE7"/>
    <w:rsid w:val="003D3D2D"/>
    <w:rsid w:val="003D48C1"/>
    <w:rsid w:val="003D49CA"/>
    <w:rsid w:val="003D5AA1"/>
    <w:rsid w:val="003D6582"/>
    <w:rsid w:val="003D6643"/>
    <w:rsid w:val="003D7BF7"/>
    <w:rsid w:val="003E053C"/>
    <w:rsid w:val="003E08DA"/>
    <w:rsid w:val="003E0D32"/>
    <w:rsid w:val="003E20D8"/>
    <w:rsid w:val="003E25C2"/>
    <w:rsid w:val="003E2B4B"/>
    <w:rsid w:val="003E2ECA"/>
    <w:rsid w:val="003E316D"/>
    <w:rsid w:val="003E3181"/>
    <w:rsid w:val="003E392C"/>
    <w:rsid w:val="003E3CC6"/>
    <w:rsid w:val="003E4051"/>
    <w:rsid w:val="003E4929"/>
    <w:rsid w:val="003E4941"/>
    <w:rsid w:val="003E5629"/>
    <w:rsid w:val="003E575E"/>
    <w:rsid w:val="003F12B0"/>
    <w:rsid w:val="003F19CD"/>
    <w:rsid w:val="003F1B1A"/>
    <w:rsid w:val="003F23B8"/>
    <w:rsid w:val="003F2B57"/>
    <w:rsid w:val="003F3D70"/>
    <w:rsid w:val="003F41D7"/>
    <w:rsid w:val="003F4F86"/>
    <w:rsid w:val="003F510C"/>
    <w:rsid w:val="003F5DEE"/>
    <w:rsid w:val="003F6348"/>
    <w:rsid w:val="003F6951"/>
    <w:rsid w:val="003F6B3A"/>
    <w:rsid w:val="003F7E23"/>
    <w:rsid w:val="0040060B"/>
    <w:rsid w:val="004008B5"/>
    <w:rsid w:val="004015ED"/>
    <w:rsid w:val="00401E58"/>
    <w:rsid w:val="00401E68"/>
    <w:rsid w:val="004021B1"/>
    <w:rsid w:val="00402C5F"/>
    <w:rsid w:val="00403D74"/>
    <w:rsid w:val="00403F97"/>
    <w:rsid w:val="00404425"/>
    <w:rsid w:val="0040536B"/>
    <w:rsid w:val="00405551"/>
    <w:rsid w:val="00407A6B"/>
    <w:rsid w:val="004101A9"/>
    <w:rsid w:val="004104DD"/>
    <w:rsid w:val="00410A7E"/>
    <w:rsid w:val="004118F8"/>
    <w:rsid w:val="00411979"/>
    <w:rsid w:val="0041210F"/>
    <w:rsid w:val="004124FB"/>
    <w:rsid w:val="00412836"/>
    <w:rsid w:val="00414214"/>
    <w:rsid w:val="00414538"/>
    <w:rsid w:val="00414F2C"/>
    <w:rsid w:val="00415920"/>
    <w:rsid w:val="00416A9F"/>
    <w:rsid w:val="004174D0"/>
    <w:rsid w:val="0042023C"/>
    <w:rsid w:val="004206B7"/>
    <w:rsid w:val="004207C4"/>
    <w:rsid w:val="00420F9A"/>
    <w:rsid w:val="00422E32"/>
    <w:rsid w:val="00422F78"/>
    <w:rsid w:val="00423DE8"/>
    <w:rsid w:val="0042412E"/>
    <w:rsid w:val="004246FB"/>
    <w:rsid w:val="00425D8D"/>
    <w:rsid w:val="0042738D"/>
    <w:rsid w:val="00427D09"/>
    <w:rsid w:val="0043078F"/>
    <w:rsid w:val="0043080B"/>
    <w:rsid w:val="004313EA"/>
    <w:rsid w:val="00431807"/>
    <w:rsid w:val="00431C04"/>
    <w:rsid w:val="00432375"/>
    <w:rsid w:val="004333AB"/>
    <w:rsid w:val="004334FF"/>
    <w:rsid w:val="00434EAC"/>
    <w:rsid w:val="004364BE"/>
    <w:rsid w:val="004366E2"/>
    <w:rsid w:val="004378A2"/>
    <w:rsid w:val="00437EE7"/>
    <w:rsid w:val="00440095"/>
    <w:rsid w:val="00440097"/>
    <w:rsid w:val="00442117"/>
    <w:rsid w:val="0044257A"/>
    <w:rsid w:val="004427DE"/>
    <w:rsid w:val="0044284D"/>
    <w:rsid w:val="00442F3F"/>
    <w:rsid w:val="00443263"/>
    <w:rsid w:val="0044355E"/>
    <w:rsid w:val="00444085"/>
    <w:rsid w:val="00444883"/>
    <w:rsid w:val="00444A0E"/>
    <w:rsid w:val="00444B9E"/>
    <w:rsid w:val="00444BB6"/>
    <w:rsid w:val="004467F4"/>
    <w:rsid w:val="00446945"/>
    <w:rsid w:val="00446B32"/>
    <w:rsid w:val="00447AB5"/>
    <w:rsid w:val="004503B0"/>
    <w:rsid w:val="00452F3A"/>
    <w:rsid w:val="0045331C"/>
    <w:rsid w:val="00453B0E"/>
    <w:rsid w:val="004549E2"/>
    <w:rsid w:val="004551A5"/>
    <w:rsid w:val="00455A6D"/>
    <w:rsid w:val="0045601D"/>
    <w:rsid w:val="00460424"/>
    <w:rsid w:val="0046164A"/>
    <w:rsid w:val="00461D90"/>
    <w:rsid w:val="00462D5D"/>
    <w:rsid w:val="004631BB"/>
    <w:rsid w:val="004633EA"/>
    <w:rsid w:val="00463457"/>
    <w:rsid w:val="00463ED1"/>
    <w:rsid w:val="00465916"/>
    <w:rsid w:val="0047078A"/>
    <w:rsid w:val="00471552"/>
    <w:rsid w:val="0047182B"/>
    <w:rsid w:val="00471B3F"/>
    <w:rsid w:val="00472320"/>
    <w:rsid w:val="0047401D"/>
    <w:rsid w:val="004741B0"/>
    <w:rsid w:val="00475848"/>
    <w:rsid w:val="004760DA"/>
    <w:rsid w:val="0047636C"/>
    <w:rsid w:val="004768AE"/>
    <w:rsid w:val="00476B55"/>
    <w:rsid w:val="00480649"/>
    <w:rsid w:val="00481B16"/>
    <w:rsid w:val="0048400C"/>
    <w:rsid w:val="00484785"/>
    <w:rsid w:val="0048494D"/>
    <w:rsid w:val="00484FE0"/>
    <w:rsid w:val="0048525A"/>
    <w:rsid w:val="00485275"/>
    <w:rsid w:val="004857B1"/>
    <w:rsid w:val="00486A70"/>
    <w:rsid w:val="00486D27"/>
    <w:rsid w:val="00486F3A"/>
    <w:rsid w:val="00487453"/>
    <w:rsid w:val="00487481"/>
    <w:rsid w:val="00490078"/>
    <w:rsid w:val="00491098"/>
    <w:rsid w:val="00491159"/>
    <w:rsid w:val="00491744"/>
    <w:rsid w:val="00492B23"/>
    <w:rsid w:val="00494F42"/>
    <w:rsid w:val="00495164"/>
    <w:rsid w:val="00495D88"/>
    <w:rsid w:val="00497118"/>
    <w:rsid w:val="0049770C"/>
    <w:rsid w:val="00497854"/>
    <w:rsid w:val="004A0530"/>
    <w:rsid w:val="004A136C"/>
    <w:rsid w:val="004A2014"/>
    <w:rsid w:val="004A2240"/>
    <w:rsid w:val="004A4456"/>
    <w:rsid w:val="004A6100"/>
    <w:rsid w:val="004A67F3"/>
    <w:rsid w:val="004A6DB8"/>
    <w:rsid w:val="004A7126"/>
    <w:rsid w:val="004B05E0"/>
    <w:rsid w:val="004B0A7C"/>
    <w:rsid w:val="004B18C2"/>
    <w:rsid w:val="004B19E3"/>
    <w:rsid w:val="004B22CF"/>
    <w:rsid w:val="004B30C9"/>
    <w:rsid w:val="004B3348"/>
    <w:rsid w:val="004B37C7"/>
    <w:rsid w:val="004B456C"/>
    <w:rsid w:val="004B56D0"/>
    <w:rsid w:val="004B58A0"/>
    <w:rsid w:val="004B5C6C"/>
    <w:rsid w:val="004B6FF2"/>
    <w:rsid w:val="004C00D1"/>
    <w:rsid w:val="004C0383"/>
    <w:rsid w:val="004C0617"/>
    <w:rsid w:val="004C0AEC"/>
    <w:rsid w:val="004C0F22"/>
    <w:rsid w:val="004C2DBF"/>
    <w:rsid w:val="004C2E42"/>
    <w:rsid w:val="004C42F2"/>
    <w:rsid w:val="004C46EB"/>
    <w:rsid w:val="004C4CDE"/>
    <w:rsid w:val="004C6DE1"/>
    <w:rsid w:val="004C75CD"/>
    <w:rsid w:val="004D02EF"/>
    <w:rsid w:val="004D10E2"/>
    <w:rsid w:val="004D1629"/>
    <w:rsid w:val="004D2191"/>
    <w:rsid w:val="004D2E36"/>
    <w:rsid w:val="004D4030"/>
    <w:rsid w:val="004D47BE"/>
    <w:rsid w:val="004D5EA7"/>
    <w:rsid w:val="004D64BB"/>
    <w:rsid w:val="004D65EE"/>
    <w:rsid w:val="004D72B0"/>
    <w:rsid w:val="004D7CE9"/>
    <w:rsid w:val="004E0D57"/>
    <w:rsid w:val="004E11A5"/>
    <w:rsid w:val="004E1CCE"/>
    <w:rsid w:val="004E1D0F"/>
    <w:rsid w:val="004E26DC"/>
    <w:rsid w:val="004E29C4"/>
    <w:rsid w:val="004E4BA7"/>
    <w:rsid w:val="004E5396"/>
    <w:rsid w:val="004E57A5"/>
    <w:rsid w:val="004E66FC"/>
    <w:rsid w:val="004E6AF8"/>
    <w:rsid w:val="004E79DA"/>
    <w:rsid w:val="004F22DA"/>
    <w:rsid w:val="004F2353"/>
    <w:rsid w:val="004F2B58"/>
    <w:rsid w:val="004F2DA4"/>
    <w:rsid w:val="004F2F26"/>
    <w:rsid w:val="004F309B"/>
    <w:rsid w:val="004F366D"/>
    <w:rsid w:val="004F3BCF"/>
    <w:rsid w:val="004F458A"/>
    <w:rsid w:val="004F79B2"/>
    <w:rsid w:val="004F7D7F"/>
    <w:rsid w:val="005005F9"/>
    <w:rsid w:val="00500BA3"/>
    <w:rsid w:val="00501091"/>
    <w:rsid w:val="005014AA"/>
    <w:rsid w:val="005023C9"/>
    <w:rsid w:val="0050328F"/>
    <w:rsid w:val="0050451B"/>
    <w:rsid w:val="0050494F"/>
    <w:rsid w:val="00506B6B"/>
    <w:rsid w:val="00506F69"/>
    <w:rsid w:val="00507016"/>
    <w:rsid w:val="005102A7"/>
    <w:rsid w:val="00510513"/>
    <w:rsid w:val="0051057A"/>
    <w:rsid w:val="0051061E"/>
    <w:rsid w:val="005120E6"/>
    <w:rsid w:val="005124B3"/>
    <w:rsid w:val="00513394"/>
    <w:rsid w:val="00513E9F"/>
    <w:rsid w:val="00514810"/>
    <w:rsid w:val="00514CD7"/>
    <w:rsid w:val="005170DF"/>
    <w:rsid w:val="0051759C"/>
    <w:rsid w:val="005175E3"/>
    <w:rsid w:val="00520287"/>
    <w:rsid w:val="00520B4D"/>
    <w:rsid w:val="00520D19"/>
    <w:rsid w:val="00520EB1"/>
    <w:rsid w:val="00521C23"/>
    <w:rsid w:val="00522139"/>
    <w:rsid w:val="0052641B"/>
    <w:rsid w:val="00526F9E"/>
    <w:rsid w:val="0052725D"/>
    <w:rsid w:val="00527FAE"/>
    <w:rsid w:val="00530745"/>
    <w:rsid w:val="00531D00"/>
    <w:rsid w:val="0053250B"/>
    <w:rsid w:val="00532EE7"/>
    <w:rsid w:val="00533087"/>
    <w:rsid w:val="0053336C"/>
    <w:rsid w:val="00533B60"/>
    <w:rsid w:val="00533DA9"/>
    <w:rsid w:val="00534938"/>
    <w:rsid w:val="00534972"/>
    <w:rsid w:val="00534C7D"/>
    <w:rsid w:val="00536116"/>
    <w:rsid w:val="005363F3"/>
    <w:rsid w:val="00537A7E"/>
    <w:rsid w:val="00540173"/>
    <w:rsid w:val="005404BA"/>
    <w:rsid w:val="00540C40"/>
    <w:rsid w:val="00541304"/>
    <w:rsid w:val="00541A5B"/>
    <w:rsid w:val="005425EF"/>
    <w:rsid w:val="005428DC"/>
    <w:rsid w:val="00543665"/>
    <w:rsid w:val="00543A78"/>
    <w:rsid w:val="0054408C"/>
    <w:rsid w:val="00545381"/>
    <w:rsid w:val="00545E7F"/>
    <w:rsid w:val="00545FD3"/>
    <w:rsid w:val="005469D3"/>
    <w:rsid w:val="00551A53"/>
    <w:rsid w:val="00551A7C"/>
    <w:rsid w:val="00551A85"/>
    <w:rsid w:val="00551DBE"/>
    <w:rsid w:val="0055235D"/>
    <w:rsid w:val="005524D3"/>
    <w:rsid w:val="00552CB6"/>
    <w:rsid w:val="00553D3D"/>
    <w:rsid w:val="00553D83"/>
    <w:rsid w:val="00554809"/>
    <w:rsid w:val="0055558A"/>
    <w:rsid w:val="00556A4E"/>
    <w:rsid w:val="00561A05"/>
    <w:rsid w:val="00562423"/>
    <w:rsid w:val="00562659"/>
    <w:rsid w:val="0056292B"/>
    <w:rsid w:val="00563864"/>
    <w:rsid w:val="005638C3"/>
    <w:rsid w:val="005642C8"/>
    <w:rsid w:val="00566D99"/>
    <w:rsid w:val="00567066"/>
    <w:rsid w:val="005702FB"/>
    <w:rsid w:val="005709F1"/>
    <w:rsid w:val="005715E7"/>
    <w:rsid w:val="00572B84"/>
    <w:rsid w:val="00574979"/>
    <w:rsid w:val="00574B34"/>
    <w:rsid w:val="00574E31"/>
    <w:rsid w:val="005756F5"/>
    <w:rsid w:val="00575D1D"/>
    <w:rsid w:val="00576FBD"/>
    <w:rsid w:val="005773CD"/>
    <w:rsid w:val="005806C8"/>
    <w:rsid w:val="00580828"/>
    <w:rsid w:val="00582D7A"/>
    <w:rsid w:val="005830BE"/>
    <w:rsid w:val="0058455B"/>
    <w:rsid w:val="0058695C"/>
    <w:rsid w:val="005875C2"/>
    <w:rsid w:val="0059118B"/>
    <w:rsid w:val="00591D29"/>
    <w:rsid w:val="0059214B"/>
    <w:rsid w:val="00592473"/>
    <w:rsid w:val="00593C39"/>
    <w:rsid w:val="00594470"/>
    <w:rsid w:val="00594788"/>
    <w:rsid w:val="005948A1"/>
    <w:rsid w:val="005948C3"/>
    <w:rsid w:val="00594F3B"/>
    <w:rsid w:val="00595F35"/>
    <w:rsid w:val="0059698F"/>
    <w:rsid w:val="00597CAA"/>
    <w:rsid w:val="00597EDB"/>
    <w:rsid w:val="005A07BD"/>
    <w:rsid w:val="005A0825"/>
    <w:rsid w:val="005A0DF0"/>
    <w:rsid w:val="005A169B"/>
    <w:rsid w:val="005A21DA"/>
    <w:rsid w:val="005A35BC"/>
    <w:rsid w:val="005A4CF5"/>
    <w:rsid w:val="005A4E0E"/>
    <w:rsid w:val="005A662C"/>
    <w:rsid w:val="005A6805"/>
    <w:rsid w:val="005A7682"/>
    <w:rsid w:val="005B0875"/>
    <w:rsid w:val="005B112F"/>
    <w:rsid w:val="005B2566"/>
    <w:rsid w:val="005B57FF"/>
    <w:rsid w:val="005B612F"/>
    <w:rsid w:val="005B64A3"/>
    <w:rsid w:val="005B6A66"/>
    <w:rsid w:val="005B732F"/>
    <w:rsid w:val="005B7AE2"/>
    <w:rsid w:val="005B7D9D"/>
    <w:rsid w:val="005C00D1"/>
    <w:rsid w:val="005C080A"/>
    <w:rsid w:val="005C0A16"/>
    <w:rsid w:val="005C0DB5"/>
    <w:rsid w:val="005C31A7"/>
    <w:rsid w:val="005C3401"/>
    <w:rsid w:val="005C368C"/>
    <w:rsid w:val="005C3F92"/>
    <w:rsid w:val="005C5249"/>
    <w:rsid w:val="005C5A24"/>
    <w:rsid w:val="005C5ADB"/>
    <w:rsid w:val="005C78BE"/>
    <w:rsid w:val="005C7C35"/>
    <w:rsid w:val="005D00F9"/>
    <w:rsid w:val="005D0442"/>
    <w:rsid w:val="005D0A25"/>
    <w:rsid w:val="005D1683"/>
    <w:rsid w:val="005D18A5"/>
    <w:rsid w:val="005D3200"/>
    <w:rsid w:val="005D3BBB"/>
    <w:rsid w:val="005D3F3C"/>
    <w:rsid w:val="005D4C16"/>
    <w:rsid w:val="005D50D6"/>
    <w:rsid w:val="005D6406"/>
    <w:rsid w:val="005D6BB0"/>
    <w:rsid w:val="005D72F8"/>
    <w:rsid w:val="005D743C"/>
    <w:rsid w:val="005E1FD9"/>
    <w:rsid w:val="005E33BE"/>
    <w:rsid w:val="005E35D7"/>
    <w:rsid w:val="005E42AE"/>
    <w:rsid w:val="005E4906"/>
    <w:rsid w:val="005E527B"/>
    <w:rsid w:val="005E595C"/>
    <w:rsid w:val="005E5E05"/>
    <w:rsid w:val="005E5E50"/>
    <w:rsid w:val="005E5FBE"/>
    <w:rsid w:val="005E691B"/>
    <w:rsid w:val="005E6A09"/>
    <w:rsid w:val="005E6BF2"/>
    <w:rsid w:val="005E6C1C"/>
    <w:rsid w:val="005E70A7"/>
    <w:rsid w:val="005F0A5D"/>
    <w:rsid w:val="005F19F9"/>
    <w:rsid w:val="005F225A"/>
    <w:rsid w:val="005F2305"/>
    <w:rsid w:val="005F2CB6"/>
    <w:rsid w:val="005F3C76"/>
    <w:rsid w:val="005F46A4"/>
    <w:rsid w:val="005F4BAC"/>
    <w:rsid w:val="005F54D3"/>
    <w:rsid w:val="005F64C1"/>
    <w:rsid w:val="005F6973"/>
    <w:rsid w:val="005F6E7F"/>
    <w:rsid w:val="005F6E8C"/>
    <w:rsid w:val="005F718E"/>
    <w:rsid w:val="00600438"/>
    <w:rsid w:val="0060048F"/>
    <w:rsid w:val="00600BF9"/>
    <w:rsid w:val="00600D3B"/>
    <w:rsid w:val="00601350"/>
    <w:rsid w:val="006015B7"/>
    <w:rsid w:val="006019C6"/>
    <w:rsid w:val="00603093"/>
    <w:rsid w:val="006034C4"/>
    <w:rsid w:val="006038C7"/>
    <w:rsid w:val="00604145"/>
    <w:rsid w:val="0060450D"/>
    <w:rsid w:val="00604B22"/>
    <w:rsid w:val="00605394"/>
    <w:rsid w:val="00605E0F"/>
    <w:rsid w:val="00605E29"/>
    <w:rsid w:val="00606156"/>
    <w:rsid w:val="0060731C"/>
    <w:rsid w:val="006075A9"/>
    <w:rsid w:val="00610390"/>
    <w:rsid w:val="00611EDA"/>
    <w:rsid w:val="00613A34"/>
    <w:rsid w:val="00614BE2"/>
    <w:rsid w:val="0061781E"/>
    <w:rsid w:val="0062004B"/>
    <w:rsid w:val="00621508"/>
    <w:rsid w:val="006215EB"/>
    <w:rsid w:val="00622CEE"/>
    <w:rsid w:val="00624726"/>
    <w:rsid w:val="00624DE5"/>
    <w:rsid w:val="00625252"/>
    <w:rsid w:val="00625407"/>
    <w:rsid w:val="00627A1B"/>
    <w:rsid w:val="00627F1E"/>
    <w:rsid w:val="00627F2E"/>
    <w:rsid w:val="00630451"/>
    <w:rsid w:val="006309B4"/>
    <w:rsid w:val="00630DCB"/>
    <w:rsid w:val="0063177D"/>
    <w:rsid w:val="006324D5"/>
    <w:rsid w:val="006344EC"/>
    <w:rsid w:val="006346E7"/>
    <w:rsid w:val="00636991"/>
    <w:rsid w:val="00636C2F"/>
    <w:rsid w:val="00636D62"/>
    <w:rsid w:val="00636D94"/>
    <w:rsid w:val="006370D6"/>
    <w:rsid w:val="00640031"/>
    <w:rsid w:val="00640A04"/>
    <w:rsid w:val="00640EF4"/>
    <w:rsid w:val="00641FDF"/>
    <w:rsid w:val="006424D4"/>
    <w:rsid w:val="006433C5"/>
    <w:rsid w:val="006450EF"/>
    <w:rsid w:val="00645EC2"/>
    <w:rsid w:val="00650A17"/>
    <w:rsid w:val="00650DC3"/>
    <w:rsid w:val="0065307A"/>
    <w:rsid w:val="00653CD0"/>
    <w:rsid w:val="00654F5A"/>
    <w:rsid w:val="006551B8"/>
    <w:rsid w:val="006552C9"/>
    <w:rsid w:val="00655B47"/>
    <w:rsid w:val="00656F8F"/>
    <w:rsid w:val="0066069B"/>
    <w:rsid w:val="00661757"/>
    <w:rsid w:val="00661852"/>
    <w:rsid w:val="00661A62"/>
    <w:rsid w:val="006621F9"/>
    <w:rsid w:val="00663599"/>
    <w:rsid w:val="006638FD"/>
    <w:rsid w:val="00664473"/>
    <w:rsid w:val="00664A31"/>
    <w:rsid w:val="00664A80"/>
    <w:rsid w:val="00666413"/>
    <w:rsid w:val="0066729C"/>
    <w:rsid w:val="00667FF9"/>
    <w:rsid w:val="006707E2"/>
    <w:rsid w:val="00670C54"/>
    <w:rsid w:val="006716A4"/>
    <w:rsid w:val="00672733"/>
    <w:rsid w:val="00672A96"/>
    <w:rsid w:val="00672D7D"/>
    <w:rsid w:val="006733D5"/>
    <w:rsid w:val="00673DEE"/>
    <w:rsid w:val="00675A1B"/>
    <w:rsid w:val="00675F5E"/>
    <w:rsid w:val="00677B16"/>
    <w:rsid w:val="00677FB4"/>
    <w:rsid w:val="006805AC"/>
    <w:rsid w:val="006812CD"/>
    <w:rsid w:val="00683939"/>
    <w:rsid w:val="006842F9"/>
    <w:rsid w:val="0068451D"/>
    <w:rsid w:val="00684D93"/>
    <w:rsid w:val="0068542A"/>
    <w:rsid w:val="0068567F"/>
    <w:rsid w:val="00686514"/>
    <w:rsid w:val="00687579"/>
    <w:rsid w:val="0068769A"/>
    <w:rsid w:val="00687E78"/>
    <w:rsid w:val="00690ABF"/>
    <w:rsid w:val="00692116"/>
    <w:rsid w:val="006925E3"/>
    <w:rsid w:val="00693507"/>
    <w:rsid w:val="0069383C"/>
    <w:rsid w:val="00693F7F"/>
    <w:rsid w:val="0069661A"/>
    <w:rsid w:val="00696F03"/>
    <w:rsid w:val="00697A55"/>
    <w:rsid w:val="006A10E3"/>
    <w:rsid w:val="006A1F3F"/>
    <w:rsid w:val="006A2884"/>
    <w:rsid w:val="006A5306"/>
    <w:rsid w:val="006A59CD"/>
    <w:rsid w:val="006A5CA1"/>
    <w:rsid w:val="006A6916"/>
    <w:rsid w:val="006A6D22"/>
    <w:rsid w:val="006B121E"/>
    <w:rsid w:val="006B2A58"/>
    <w:rsid w:val="006B2FEA"/>
    <w:rsid w:val="006B4723"/>
    <w:rsid w:val="006B50F5"/>
    <w:rsid w:val="006B59F5"/>
    <w:rsid w:val="006B646C"/>
    <w:rsid w:val="006C0470"/>
    <w:rsid w:val="006C0CFB"/>
    <w:rsid w:val="006C0DFF"/>
    <w:rsid w:val="006C13C0"/>
    <w:rsid w:val="006C197E"/>
    <w:rsid w:val="006C1CEB"/>
    <w:rsid w:val="006C1FD8"/>
    <w:rsid w:val="006C2058"/>
    <w:rsid w:val="006C2B10"/>
    <w:rsid w:val="006C471D"/>
    <w:rsid w:val="006C48DC"/>
    <w:rsid w:val="006C5165"/>
    <w:rsid w:val="006C51C3"/>
    <w:rsid w:val="006C5C96"/>
    <w:rsid w:val="006C5D4B"/>
    <w:rsid w:val="006C5E33"/>
    <w:rsid w:val="006C6154"/>
    <w:rsid w:val="006C6181"/>
    <w:rsid w:val="006C6CB6"/>
    <w:rsid w:val="006C7A4D"/>
    <w:rsid w:val="006D0AD2"/>
    <w:rsid w:val="006D1ABD"/>
    <w:rsid w:val="006D1EF2"/>
    <w:rsid w:val="006D2793"/>
    <w:rsid w:val="006D2B23"/>
    <w:rsid w:val="006D32F4"/>
    <w:rsid w:val="006D455B"/>
    <w:rsid w:val="006D4807"/>
    <w:rsid w:val="006D4D9B"/>
    <w:rsid w:val="006D622D"/>
    <w:rsid w:val="006D6E43"/>
    <w:rsid w:val="006D7799"/>
    <w:rsid w:val="006D7CFC"/>
    <w:rsid w:val="006E0390"/>
    <w:rsid w:val="006E0EC7"/>
    <w:rsid w:val="006E2F14"/>
    <w:rsid w:val="006E37D2"/>
    <w:rsid w:val="006E4492"/>
    <w:rsid w:val="006E4F7D"/>
    <w:rsid w:val="006E5A2C"/>
    <w:rsid w:val="006E6BB7"/>
    <w:rsid w:val="006F0B6D"/>
    <w:rsid w:val="006F1351"/>
    <w:rsid w:val="006F1751"/>
    <w:rsid w:val="006F1F51"/>
    <w:rsid w:val="006F204A"/>
    <w:rsid w:val="006F270C"/>
    <w:rsid w:val="006F2DBA"/>
    <w:rsid w:val="006F3D12"/>
    <w:rsid w:val="006F4364"/>
    <w:rsid w:val="006F5405"/>
    <w:rsid w:val="006F6B45"/>
    <w:rsid w:val="006F79A6"/>
    <w:rsid w:val="006F7A02"/>
    <w:rsid w:val="00700236"/>
    <w:rsid w:val="00700937"/>
    <w:rsid w:val="00700976"/>
    <w:rsid w:val="00701B12"/>
    <w:rsid w:val="00701DBE"/>
    <w:rsid w:val="00702ACF"/>
    <w:rsid w:val="007038FF"/>
    <w:rsid w:val="00704B48"/>
    <w:rsid w:val="0070655E"/>
    <w:rsid w:val="00706FF6"/>
    <w:rsid w:val="007072E6"/>
    <w:rsid w:val="007109FA"/>
    <w:rsid w:val="0071289A"/>
    <w:rsid w:val="00712DF6"/>
    <w:rsid w:val="00713191"/>
    <w:rsid w:val="00714336"/>
    <w:rsid w:val="00714380"/>
    <w:rsid w:val="00714C05"/>
    <w:rsid w:val="0071523E"/>
    <w:rsid w:val="007156F7"/>
    <w:rsid w:val="007164A6"/>
    <w:rsid w:val="007171FF"/>
    <w:rsid w:val="00717516"/>
    <w:rsid w:val="00720175"/>
    <w:rsid w:val="007202C5"/>
    <w:rsid w:val="007210F8"/>
    <w:rsid w:val="00723332"/>
    <w:rsid w:val="007234C8"/>
    <w:rsid w:val="007239D3"/>
    <w:rsid w:val="00723D31"/>
    <w:rsid w:val="007245D4"/>
    <w:rsid w:val="00725079"/>
    <w:rsid w:val="00725BF1"/>
    <w:rsid w:val="00726AEE"/>
    <w:rsid w:val="00727D78"/>
    <w:rsid w:val="00730D5F"/>
    <w:rsid w:val="00730EA8"/>
    <w:rsid w:val="00731FC8"/>
    <w:rsid w:val="00733421"/>
    <w:rsid w:val="00733DB3"/>
    <w:rsid w:val="007341D8"/>
    <w:rsid w:val="00734387"/>
    <w:rsid w:val="00734404"/>
    <w:rsid w:val="00735E1F"/>
    <w:rsid w:val="0073723A"/>
    <w:rsid w:val="00737587"/>
    <w:rsid w:val="007376FB"/>
    <w:rsid w:val="00740A02"/>
    <w:rsid w:val="00740EBF"/>
    <w:rsid w:val="00741992"/>
    <w:rsid w:val="007425C9"/>
    <w:rsid w:val="00743EED"/>
    <w:rsid w:val="00744542"/>
    <w:rsid w:val="00744E03"/>
    <w:rsid w:val="0074501C"/>
    <w:rsid w:val="00745C19"/>
    <w:rsid w:val="0074662B"/>
    <w:rsid w:val="00747069"/>
    <w:rsid w:val="007472D0"/>
    <w:rsid w:val="0075046E"/>
    <w:rsid w:val="00750DCC"/>
    <w:rsid w:val="00751120"/>
    <w:rsid w:val="00751402"/>
    <w:rsid w:val="00751B8D"/>
    <w:rsid w:val="00752D26"/>
    <w:rsid w:val="00752FA6"/>
    <w:rsid w:val="00753438"/>
    <w:rsid w:val="00753550"/>
    <w:rsid w:val="00753E94"/>
    <w:rsid w:val="00755494"/>
    <w:rsid w:val="007555CC"/>
    <w:rsid w:val="00755815"/>
    <w:rsid w:val="00755FD9"/>
    <w:rsid w:val="00757CDB"/>
    <w:rsid w:val="00757E18"/>
    <w:rsid w:val="00760EF5"/>
    <w:rsid w:val="00761657"/>
    <w:rsid w:val="00761961"/>
    <w:rsid w:val="007622E1"/>
    <w:rsid w:val="0076261B"/>
    <w:rsid w:val="00763ABC"/>
    <w:rsid w:val="00763E23"/>
    <w:rsid w:val="00764841"/>
    <w:rsid w:val="00770657"/>
    <w:rsid w:val="007706F3"/>
    <w:rsid w:val="00771D2E"/>
    <w:rsid w:val="00775056"/>
    <w:rsid w:val="00775B59"/>
    <w:rsid w:val="0077602C"/>
    <w:rsid w:val="00776351"/>
    <w:rsid w:val="00776520"/>
    <w:rsid w:val="007769E4"/>
    <w:rsid w:val="00776B46"/>
    <w:rsid w:val="00777453"/>
    <w:rsid w:val="00780677"/>
    <w:rsid w:val="00780E61"/>
    <w:rsid w:val="0078111B"/>
    <w:rsid w:val="00781176"/>
    <w:rsid w:val="0078236C"/>
    <w:rsid w:val="007825E0"/>
    <w:rsid w:val="0078338D"/>
    <w:rsid w:val="00783FFE"/>
    <w:rsid w:val="0078481E"/>
    <w:rsid w:val="007852D6"/>
    <w:rsid w:val="00786341"/>
    <w:rsid w:val="007867E2"/>
    <w:rsid w:val="00786A1E"/>
    <w:rsid w:val="00787B1F"/>
    <w:rsid w:val="007904E4"/>
    <w:rsid w:val="00790855"/>
    <w:rsid w:val="00791BA1"/>
    <w:rsid w:val="00792902"/>
    <w:rsid w:val="0079292C"/>
    <w:rsid w:val="00792F77"/>
    <w:rsid w:val="00793626"/>
    <w:rsid w:val="00793AC3"/>
    <w:rsid w:val="00793C6F"/>
    <w:rsid w:val="00793F12"/>
    <w:rsid w:val="00794FCC"/>
    <w:rsid w:val="0079700F"/>
    <w:rsid w:val="00797D93"/>
    <w:rsid w:val="00797F4E"/>
    <w:rsid w:val="007A036E"/>
    <w:rsid w:val="007A053A"/>
    <w:rsid w:val="007A0F79"/>
    <w:rsid w:val="007A23CB"/>
    <w:rsid w:val="007A45B8"/>
    <w:rsid w:val="007A4A38"/>
    <w:rsid w:val="007A4C12"/>
    <w:rsid w:val="007A5757"/>
    <w:rsid w:val="007A5827"/>
    <w:rsid w:val="007A5A9B"/>
    <w:rsid w:val="007A60A6"/>
    <w:rsid w:val="007A66D2"/>
    <w:rsid w:val="007A6BAB"/>
    <w:rsid w:val="007A702B"/>
    <w:rsid w:val="007A7288"/>
    <w:rsid w:val="007A72DB"/>
    <w:rsid w:val="007B019D"/>
    <w:rsid w:val="007B032E"/>
    <w:rsid w:val="007B0728"/>
    <w:rsid w:val="007B0B45"/>
    <w:rsid w:val="007B0DDE"/>
    <w:rsid w:val="007B0FDC"/>
    <w:rsid w:val="007B13ED"/>
    <w:rsid w:val="007B19EA"/>
    <w:rsid w:val="007B2009"/>
    <w:rsid w:val="007B2D38"/>
    <w:rsid w:val="007B438A"/>
    <w:rsid w:val="007B49EF"/>
    <w:rsid w:val="007B4AAD"/>
    <w:rsid w:val="007B4E08"/>
    <w:rsid w:val="007B693C"/>
    <w:rsid w:val="007B7AD8"/>
    <w:rsid w:val="007C08F8"/>
    <w:rsid w:val="007C104A"/>
    <w:rsid w:val="007C273C"/>
    <w:rsid w:val="007C3600"/>
    <w:rsid w:val="007C44B4"/>
    <w:rsid w:val="007C4798"/>
    <w:rsid w:val="007C4D41"/>
    <w:rsid w:val="007C51AE"/>
    <w:rsid w:val="007C5761"/>
    <w:rsid w:val="007C5A38"/>
    <w:rsid w:val="007C5DF0"/>
    <w:rsid w:val="007C5FDF"/>
    <w:rsid w:val="007C6795"/>
    <w:rsid w:val="007C67EA"/>
    <w:rsid w:val="007C6CE8"/>
    <w:rsid w:val="007C714C"/>
    <w:rsid w:val="007C7764"/>
    <w:rsid w:val="007D0189"/>
    <w:rsid w:val="007D26CF"/>
    <w:rsid w:val="007D2E59"/>
    <w:rsid w:val="007D3DF5"/>
    <w:rsid w:val="007D4EA0"/>
    <w:rsid w:val="007D61B1"/>
    <w:rsid w:val="007D65C6"/>
    <w:rsid w:val="007D7761"/>
    <w:rsid w:val="007D77B7"/>
    <w:rsid w:val="007D7A5F"/>
    <w:rsid w:val="007D7FCD"/>
    <w:rsid w:val="007E38C8"/>
    <w:rsid w:val="007E5ACF"/>
    <w:rsid w:val="007E6CFC"/>
    <w:rsid w:val="007F0540"/>
    <w:rsid w:val="007F0A2C"/>
    <w:rsid w:val="007F13AE"/>
    <w:rsid w:val="007F1888"/>
    <w:rsid w:val="007F25AF"/>
    <w:rsid w:val="007F2A89"/>
    <w:rsid w:val="007F312D"/>
    <w:rsid w:val="007F3B81"/>
    <w:rsid w:val="007F4B0E"/>
    <w:rsid w:val="007F4EFE"/>
    <w:rsid w:val="007F586E"/>
    <w:rsid w:val="007F66DB"/>
    <w:rsid w:val="007F6AAA"/>
    <w:rsid w:val="007F6B80"/>
    <w:rsid w:val="007F7481"/>
    <w:rsid w:val="007F7B22"/>
    <w:rsid w:val="007F7FEE"/>
    <w:rsid w:val="0080351B"/>
    <w:rsid w:val="00803DE4"/>
    <w:rsid w:val="00804263"/>
    <w:rsid w:val="00805C43"/>
    <w:rsid w:val="00807898"/>
    <w:rsid w:val="00807ED9"/>
    <w:rsid w:val="008102A4"/>
    <w:rsid w:val="00810D89"/>
    <w:rsid w:val="00811AD9"/>
    <w:rsid w:val="00814A72"/>
    <w:rsid w:val="0081607D"/>
    <w:rsid w:val="00816F25"/>
    <w:rsid w:val="0081775C"/>
    <w:rsid w:val="00817B3D"/>
    <w:rsid w:val="0082056F"/>
    <w:rsid w:val="008239CA"/>
    <w:rsid w:val="00824567"/>
    <w:rsid w:val="0082580C"/>
    <w:rsid w:val="00825C6E"/>
    <w:rsid w:val="00826917"/>
    <w:rsid w:val="00826EB6"/>
    <w:rsid w:val="00827380"/>
    <w:rsid w:val="00832B19"/>
    <w:rsid w:val="00832DF9"/>
    <w:rsid w:val="008343F8"/>
    <w:rsid w:val="0083462F"/>
    <w:rsid w:val="0083609E"/>
    <w:rsid w:val="00840AA8"/>
    <w:rsid w:val="00841430"/>
    <w:rsid w:val="008420B4"/>
    <w:rsid w:val="008420BA"/>
    <w:rsid w:val="00843BEB"/>
    <w:rsid w:val="00843E6C"/>
    <w:rsid w:val="00845669"/>
    <w:rsid w:val="00846042"/>
    <w:rsid w:val="00846AD9"/>
    <w:rsid w:val="00846CAE"/>
    <w:rsid w:val="00847588"/>
    <w:rsid w:val="00850218"/>
    <w:rsid w:val="00850771"/>
    <w:rsid w:val="00850C71"/>
    <w:rsid w:val="00850E0D"/>
    <w:rsid w:val="00852305"/>
    <w:rsid w:val="0085246B"/>
    <w:rsid w:val="0085475D"/>
    <w:rsid w:val="00854D93"/>
    <w:rsid w:val="0085646B"/>
    <w:rsid w:val="0085688E"/>
    <w:rsid w:val="00856E41"/>
    <w:rsid w:val="00860010"/>
    <w:rsid w:val="008615B3"/>
    <w:rsid w:val="00861B5F"/>
    <w:rsid w:val="00861C29"/>
    <w:rsid w:val="00862EC0"/>
    <w:rsid w:val="00863249"/>
    <w:rsid w:val="00863564"/>
    <w:rsid w:val="00870612"/>
    <w:rsid w:val="00871209"/>
    <w:rsid w:val="00872AAE"/>
    <w:rsid w:val="0087303C"/>
    <w:rsid w:val="00874AC0"/>
    <w:rsid w:val="00875B2B"/>
    <w:rsid w:val="00876717"/>
    <w:rsid w:val="00876870"/>
    <w:rsid w:val="00876CEF"/>
    <w:rsid w:val="00877139"/>
    <w:rsid w:val="008771F4"/>
    <w:rsid w:val="0087753E"/>
    <w:rsid w:val="008800C0"/>
    <w:rsid w:val="00880753"/>
    <w:rsid w:val="00880968"/>
    <w:rsid w:val="00880DFA"/>
    <w:rsid w:val="008811BC"/>
    <w:rsid w:val="0088130C"/>
    <w:rsid w:val="00881543"/>
    <w:rsid w:val="00882B2A"/>
    <w:rsid w:val="00883141"/>
    <w:rsid w:val="0088398B"/>
    <w:rsid w:val="008846B5"/>
    <w:rsid w:val="00884AFA"/>
    <w:rsid w:val="00885B45"/>
    <w:rsid w:val="00885C26"/>
    <w:rsid w:val="00886F88"/>
    <w:rsid w:val="00887040"/>
    <w:rsid w:val="00887C99"/>
    <w:rsid w:val="00887F8A"/>
    <w:rsid w:val="00892837"/>
    <w:rsid w:val="008935EF"/>
    <w:rsid w:val="00893709"/>
    <w:rsid w:val="0089373F"/>
    <w:rsid w:val="00893B84"/>
    <w:rsid w:val="00893BDD"/>
    <w:rsid w:val="00893DCA"/>
    <w:rsid w:val="00893FB3"/>
    <w:rsid w:val="00895942"/>
    <w:rsid w:val="00897BC7"/>
    <w:rsid w:val="008A1BEB"/>
    <w:rsid w:val="008A1E93"/>
    <w:rsid w:val="008A3134"/>
    <w:rsid w:val="008A394A"/>
    <w:rsid w:val="008A3CEF"/>
    <w:rsid w:val="008A4DA3"/>
    <w:rsid w:val="008A4DF9"/>
    <w:rsid w:val="008A6067"/>
    <w:rsid w:val="008A7723"/>
    <w:rsid w:val="008B0153"/>
    <w:rsid w:val="008B0284"/>
    <w:rsid w:val="008B124F"/>
    <w:rsid w:val="008B170C"/>
    <w:rsid w:val="008B17FD"/>
    <w:rsid w:val="008B1EAF"/>
    <w:rsid w:val="008B23AD"/>
    <w:rsid w:val="008B243B"/>
    <w:rsid w:val="008B31F7"/>
    <w:rsid w:val="008B3AFE"/>
    <w:rsid w:val="008B41E9"/>
    <w:rsid w:val="008B73E7"/>
    <w:rsid w:val="008C0621"/>
    <w:rsid w:val="008C09EE"/>
    <w:rsid w:val="008C0C1D"/>
    <w:rsid w:val="008C0E6B"/>
    <w:rsid w:val="008C0E8C"/>
    <w:rsid w:val="008C11CA"/>
    <w:rsid w:val="008C21D5"/>
    <w:rsid w:val="008C2589"/>
    <w:rsid w:val="008C2855"/>
    <w:rsid w:val="008C40F4"/>
    <w:rsid w:val="008C4819"/>
    <w:rsid w:val="008C5C9A"/>
    <w:rsid w:val="008C6FE0"/>
    <w:rsid w:val="008D1BD6"/>
    <w:rsid w:val="008D25C4"/>
    <w:rsid w:val="008D2605"/>
    <w:rsid w:val="008D28A2"/>
    <w:rsid w:val="008D2AC2"/>
    <w:rsid w:val="008D2B30"/>
    <w:rsid w:val="008D338D"/>
    <w:rsid w:val="008D45C2"/>
    <w:rsid w:val="008D49D9"/>
    <w:rsid w:val="008D6A19"/>
    <w:rsid w:val="008D6B1C"/>
    <w:rsid w:val="008D7527"/>
    <w:rsid w:val="008D7E21"/>
    <w:rsid w:val="008E0823"/>
    <w:rsid w:val="008E11E7"/>
    <w:rsid w:val="008E1F21"/>
    <w:rsid w:val="008E2A14"/>
    <w:rsid w:val="008E3324"/>
    <w:rsid w:val="008E38EB"/>
    <w:rsid w:val="008E46F0"/>
    <w:rsid w:val="008E61B8"/>
    <w:rsid w:val="008E61E1"/>
    <w:rsid w:val="008E7502"/>
    <w:rsid w:val="008F0CBF"/>
    <w:rsid w:val="008F11A1"/>
    <w:rsid w:val="008F1C64"/>
    <w:rsid w:val="008F23E9"/>
    <w:rsid w:val="008F4884"/>
    <w:rsid w:val="008F4B99"/>
    <w:rsid w:val="008F5613"/>
    <w:rsid w:val="008F5CE6"/>
    <w:rsid w:val="008F5F34"/>
    <w:rsid w:val="0090388D"/>
    <w:rsid w:val="0090464A"/>
    <w:rsid w:val="009046EB"/>
    <w:rsid w:val="00905F0F"/>
    <w:rsid w:val="009066E2"/>
    <w:rsid w:val="00906B81"/>
    <w:rsid w:val="009100CD"/>
    <w:rsid w:val="0091098B"/>
    <w:rsid w:val="00910EA3"/>
    <w:rsid w:val="00911A69"/>
    <w:rsid w:val="00912ABC"/>
    <w:rsid w:val="00913616"/>
    <w:rsid w:val="009158D2"/>
    <w:rsid w:val="00915A9A"/>
    <w:rsid w:val="00915DF4"/>
    <w:rsid w:val="009164FF"/>
    <w:rsid w:val="00917439"/>
    <w:rsid w:val="00922101"/>
    <w:rsid w:val="00922FF0"/>
    <w:rsid w:val="00923DC7"/>
    <w:rsid w:val="00924E4B"/>
    <w:rsid w:val="00924E4E"/>
    <w:rsid w:val="00930EF3"/>
    <w:rsid w:val="0093244C"/>
    <w:rsid w:val="00932B00"/>
    <w:rsid w:val="0093388B"/>
    <w:rsid w:val="00933C60"/>
    <w:rsid w:val="00934551"/>
    <w:rsid w:val="00934EC3"/>
    <w:rsid w:val="009373B5"/>
    <w:rsid w:val="0093744A"/>
    <w:rsid w:val="009406B9"/>
    <w:rsid w:val="00941EA5"/>
    <w:rsid w:val="009421E7"/>
    <w:rsid w:val="00943FDC"/>
    <w:rsid w:val="009448DA"/>
    <w:rsid w:val="00944A4E"/>
    <w:rsid w:val="009452D1"/>
    <w:rsid w:val="0094641C"/>
    <w:rsid w:val="009466AB"/>
    <w:rsid w:val="00947C6A"/>
    <w:rsid w:val="00947FED"/>
    <w:rsid w:val="00950704"/>
    <w:rsid w:val="009507CB"/>
    <w:rsid w:val="0095214B"/>
    <w:rsid w:val="0095225C"/>
    <w:rsid w:val="009523EF"/>
    <w:rsid w:val="0095256D"/>
    <w:rsid w:val="00953003"/>
    <w:rsid w:val="00953614"/>
    <w:rsid w:val="00954AD5"/>
    <w:rsid w:val="00954E7C"/>
    <w:rsid w:val="0095535F"/>
    <w:rsid w:val="009560D1"/>
    <w:rsid w:val="009567F2"/>
    <w:rsid w:val="00956A3C"/>
    <w:rsid w:val="0095706B"/>
    <w:rsid w:val="009577A4"/>
    <w:rsid w:val="00957ED0"/>
    <w:rsid w:val="00957F49"/>
    <w:rsid w:val="009611FA"/>
    <w:rsid w:val="009629F0"/>
    <w:rsid w:val="00965112"/>
    <w:rsid w:val="00965123"/>
    <w:rsid w:val="00965382"/>
    <w:rsid w:val="00966996"/>
    <w:rsid w:val="009671C2"/>
    <w:rsid w:val="00970686"/>
    <w:rsid w:val="0097071A"/>
    <w:rsid w:val="00972D0C"/>
    <w:rsid w:val="00973486"/>
    <w:rsid w:val="0097374B"/>
    <w:rsid w:val="00974868"/>
    <w:rsid w:val="00974E75"/>
    <w:rsid w:val="0097549C"/>
    <w:rsid w:val="00975DF2"/>
    <w:rsid w:val="00976A8A"/>
    <w:rsid w:val="00976F10"/>
    <w:rsid w:val="00977053"/>
    <w:rsid w:val="009824B3"/>
    <w:rsid w:val="00984F72"/>
    <w:rsid w:val="00985651"/>
    <w:rsid w:val="00985C22"/>
    <w:rsid w:val="00986821"/>
    <w:rsid w:val="00986C68"/>
    <w:rsid w:val="00987632"/>
    <w:rsid w:val="00987CA8"/>
    <w:rsid w:val="00990529"/>
    <w:rsid w:val="0099156B"/>
    <w:rsid w:val="009916F2"/>
    <w:rsid w:val="009917CD"/>
    <w:rsid w:val="009919A6"/>
    <w:rsid w:val="00991ABD"/>
    <w:rsid w:val="00991B54"/>
    <w:rsid w:val="00991C0A"/>
    <w:rsid w:val="009923EA"/>
    <w:rsid w:val="00992A36"/>
    <w:rsid w:val="00992CD3"/>
    <w:rsid w:val="00993E85"/>
    <w:rsid w:val="00993FC0"/>
    <w:rsid w:val="00995522"/>
    <w:rsid w:val="00995C62"/>
    <w:rsid w:val="0099682C"/>
    <w:rsid w:val="0099781D"/>
    <w:rsid w:val="00997B85"/>
    <w:rsid w:val="009A034C"/>
    <w:rsid w:val="009A04B2"/>
    <w:rsid w:val="009A0B4C"/>
    <w:rsid w:val="009A10D7"/>
    <w:rsid w:val="009A1B9A"/>
    <w:rsid w:val="009A1BC9"/>
    <w:rsid w:val="009A1C2A"/>
    <w:rsid w:val="009A348E"/>
    <w:rsid w:val="009A3E6B"/>
    <w:rsid w:val="009A561D"/>
    <w:rsid w:val="009A5CFD"/>
    <w:rsid w:val="009A620D"/>
    <w:rsid w:val="009A6BF1"/>
    <w:rsid w:val="009A7DA1"/>
    <w:rsid w:val="009B0663"/>
    <w:rsid w:val="009B0B27"/>
    <w:rsid w:val="009B0C3A"/>
    <w:rsid w:val="009B15BD"/>
    <w:rsid w:val="009B162B"/>
    <w:rsid w:val="009B303B"/>
    <w:rsid w:val="009B4F39"/>
    <w:rsid w:val="009B52F1"/>
    <w:rsid w:val="009B5AD9"/>
    <w:rsid w:val="009B5F4D"/>
    <w:rsid w:val="009B63B8"/>
    <w:rsid w:val="009B678D"/>
    <w:rsid w:val="009C0145"/>
    <w:rsid w:val="009C0BD0"/>
    <w:rsid w:val="009C0DE3"/>
    <w:rsid w:val="009C2399"/>
    <w:rsid w:val="009C2AE7"/>
    <w:rsid w:val="009C2C78"/>
    <w:rsid w:val="009C2ED6"/>
    <w:rsid w:val="009C30B0"/>
    <w:rsid w:val="009C4030"/>
    <w:rsid w:val="009C4676"/>
    <w:rsid w:val="009C47BF"/>
    <w:rsid w:val="009C4BD5"/>
    <w:rsid w:val="009C5167"/>
    <w:rsid w:val="009C6B7A"/>
    <w:rsid w:val="009C6BD8"/>
    <w:rsid w:val="009C77DB"/>
    <w:rsid w:val="009C799D"/>
    <w:rsid w:val="009D0FF8"/>
    <w:rsid w:val="009D14F8"/>
    <w:rsid w:val="009D2228"/>
    <w:rsid w:val="009D3444"/>
    <w:rsid w:val="009D3C12"/>
    <w:rsid w:val="009D3C3A"/>
    <w:rsid w:val="009D6509"/>
    <w:rsid w:val="009D6F7B"/>
    <w:rsid w:val="009D7C12"/>
    <w:rsid w:val="009E2557"/>
    <w:rsid w:val="009E2DCB"/>
    <w:rsid w:val="009E2E1C"/>
    <w:rsid w:val="009E345E"/>
    <w:rsid w:val="009E54E4"/>
    <w:rsid w:val="009E5E26"/>
    <w:rsid w:val="009F1266"/>
    <w:rsid w:val="009F24DA"/>
    <w:rsid w:val="009F2891"/>
    <w:rsid w:val="009F32AB"/>
    <w:rsid w:val="009F4601"/>
    <w:rsid w:val="009F4776"/>
    <w:rsid w:val="009F5537"/>
    <w:rsid w:val="009F5B07"/>
    <w:rsid w:val="009F5C6B"/>
    <w:rsid w:val="009F6866"/>
    <w:rsid w:val="009F7334"/>
    <w:rsid w:val="00A0199B"/>
    <w:rsid w:val="00A01E5D"/>
    <w:rsid w:val="00A0238E"/>
    <w:rsid w:val="00A024BF"/>
    <w:rsid w:val="00A03A89"/>
    <w:rsid w:val="00A0430E"/>
    <w:rsid w:val="00A04952"/>
    <w:rsid w:val="00A04FF9"/>
    <w:rsid w:val="00A0532D"/>
    <w:rsid w:val="00A05F44"/>
    <w:rsid w:val="00A06133"/>
    <w:rsid w:val="00A0633B"/>
    <w:rsid w:val="00A06660"/>
    <w:rsid w:val="00A06B7D"/>
    <w:rsid w:val="00A06D78"/>
    <w:rsid w:val="00A07782"/>
    <w:rsid w:val="00A07D97"/>
    <w:rsid w:val="00A10DF9"/>
    <w:rsid w:val="00A1151B"/>
    <w:rsid w:val="00A12BDD"/>
    <w:rsid w:val="00A14A56"/>
    <w:rsid w:val="00A1533C"/>
    <w:rsid w:val="00A157EA"/>
    <w:rsid w:val="00A16C43"/>
    <w:rsid w:val="00A16E80"/>
    <w:rsid w:val="00A17E64"/>
    <w:rsid w:val="00A17E83"/>
    <w:rsid w:val="00A20442"/>
    <w:rsid w:val="00A212D6"/>
    <w:rsid w:val="00A213C2"/>
    <w:rsid w:val="00A223BF"/>
    <w:rsid w:val="00A22FB9"/>
    <w:rsid w:val="00A249FB"/>
    <w:rsid w:val="00A24CE5"/>
    <w:rsid w:val="00A26593"/>
    <w:rsid w:val="00A26F38"/>
    <w:rsid w:val="00A276B4"/>
    <w:rsid w:val="00A278EF"/>
    <w:rsid w:val="00A27A93"/>
    <w:rsid w:val="00A30463"/>
    <w:rsid w:val="00A30F7B"/>
    <w:rsid w:val="00A3137F"/>
    <w:rsid w:val="00A3199D"/>
    <w:rsid w:val="00A324F6"/>
    <w:rsid w:val="00A32CE7"/>
    <w:rsid w:val="00A32E02"/>
    <w:rsid w:val="00A32EC4"/>
    <w:rsid w:val="00A33A22"/>
    <w:rsid w:val="00A34131"/>
    <w:rsid w:val="00A3655F"/>
    <w:rsid w:val="00A36FA6"/>
    <w:rsid w:val="00A36FC2"/>
    <w:rsid w:val="00A37704"/>
    <w:rsid w:val="00A37F7A"/>
    <w:rsid w:val="00A409D7"/>
    <w:rsid w:val="00A40CF5"/>
    <w:rsid w:val="00A41D28"/>
    <w:rsid w:val="00A41E47"/>
    <w:rsid w:val="00A41FDC"/>
    <w:rsid w:val="00A4258B"/>
    <w:rsid w:val="00A43AAB"/>
    <w:rsid w:val="00A43B24"/>
    <w:rsid w:val="00A43B55"/>
    <w:rsid w:val="00A43E45"/>
    <w:rsid w:val="00A43EB4"/>
    <w:rsid w:val="00A44201"/>
    <w:rsid w:val="00A44B60"/>
    <w:rsid w:val="00A44F30"/>
    <w:rsid w:val="00A45F06"/>
    <w:rsid w:val="00A462D5"/>
    <w:rsid w:val="00A463A2"/>
    <w:rsid w:val="00A47F90"/>
    <w:rsid w:val="00A5007F"/>
    <w:rsid w:val="00A5167F"/>
    <w:rsid w:val="00A52638"/>
    <w:rsid w:val="00A53C73"/>
    <w:rsid w:val="00A53DE1"/>
    <w:rsid w:val="00A55833"/>
    <w:rsid w:val="00A573FF"/>
    <w:rsid w:val="00A579AB"/>
    <w:rsid w:val="00A57D1B"/>
    <w:rsid w:val="00A60D1F"/>
    <w:rsid w:val="00A617D2"/>
    <w:rsid w:val="00A62DE2"/>
    <w:rsid w:val="00A639CB"/>
    <w:rsid w:val="00A642DE"/>
    <w:rsid w:val="00A6452A"/>
    <w:rsid w:val="00A649C5"/>
    <w:rsid w:val="00A64CA9"/>
    <w:rsid w:val="00A64F18"/>
    <w:rsid w:val="00A64F40"/>
    <w:rsid w:val="00A65D6F"/>
    <w:rsid w:val="00A66397"/>
    <w:rsid w:val="00A66A04"/>
    <w:rsid w:val="00A672A0"/>
    <w:rsid w:val="00A677E3"/>
    <w:rsid w:val="00A7187B"/>
    <w:rsid w:val="00A71923"/>
    <w:rsid w:val="00A71ADF"/>
    <w:rsid w:val="00A7293C"/>
    <w:rsid w:val="00A73217"/>
    <w:rsid w:val="00A73AB8"/>
    <w:rsid w:val="00A73F06"/>
    <w:rsid w:val="00A73F63"/>
    <w:rsid w:val="00A7421C"/>
    <w:rsid w:val="00A80AFB"/>
    <w:rsid w:val="00A80B5F"/>
    <w:rsid w:val="00A81710"/>
    <w:rsid w:val="00A828D0"/>
    <w:rsid w:val="00A82C4C"/>
    <w:rsid w:val="00A830D7"/>
    <w:rsid w:val="00A839A8"/>
    <w:rsid w:val="00A8445C"/>
    <w:rsid w:val="00A85BB5"/>
    <w:rsid w:val="00A86D8B"/>
    <w:rsid w:val="00A9084B"/>
    <w:rsid w:val="00A91EA2"/>
    <w:rsid w:val="00A9488E"/>
    <w:rsid w:val="00A9491E"/>
    <w:rsid w:val="00A9518F"/>
    <w:rsid w:val="00A96090"/>
    <w:rsid w:val="00A9619A"/>
    <w:rsid w:val="00A9622A"/>
    <w:rsid w:val="00A9635A"/>
    <w:rsid w:val="00A968A4"/>
    <w:rsid w:val="00A97107"/>
    <w:rsid w:val="00A97DDC"/>
    <w:rsid w:val="00AA10F1"/>
    <w:rsid w:val="00AA2382"/>
    <w:rsid w:val="00AA27C4"/>
    <w:rsid w:val="00AA4862"/>
    <w:rsid w:val="00AA4C6A"/>
    <w:rsid w:val="00AA57EA"/>
    <w:rsid w:val="00AA5B63"/>
    <w:rsid w:val="00AA6E1F"/>
    <w:rsid w:val="00AA716C"/>
    <w:rsid w:val="00AA78FC"/>
    <w:rsid w:val="00AA7E5F"/>
    <w:rsid w:val="00AB106A"/>
    <w:rsid w:val="00AB134C"/>
    <w:rsid w:val="00AB32E6"/>
    <w:rsid w:val="00AB3BEC"/>
    <w:rsid w:val="00AB4ADF"/>
    <w:rsid w:val="00AB52FD"/>
    <w:rsid w:val="00AB5B33"/>
    <w:rsid w:val="00AB5C3C"/>
    <w:rsid w:val="00AB6011"/>
    <w:rsid w:val="00AB6CC2"/>
    <w:rsid w:val="00AB6F4D"/>
    <w:rsid w:val="00AB7167"/>
    <w:rsid w:val="00AB724F"/>
    <w:rsid w:val="00AB7315"/>
    <w:rsid w:val="00AB749E"/>
    <w:rsid w:val="00AC002E"/>
    <w:rsid w:val="00AC03F3"/>
    <w:rsid w:val="00AC0D43"/>
    <w:rsid w:val="00AC0DAF"/>
    <w:rsid w:val="00AC1AA9"/>
    <w:rsid w:val="00AC1E1A"/>
    <w:rsid w:val="00AC3D48"/>
    <w:rsid w:val="00AC4311"/>
    <w:rsid w:val="00AC4342"/>
    <w:rsid w:val="00AC4C82"/>
    <w:rsid w:val="00AC4F22"/>
    <w:rsid w:val="00AC588C"/>
    <w:rsid w:val="00AC63B9"/>
    <w:rsid w:val="00AC767F"/>
    <w:rsid w:val="00AC7F55"/>
    <w:rsid w:val="00AD0034"/>
    <w:rsid w:val="00AD0242"/>
    <w:rsid w:val="00AD11D1"/>
    <w:rsid w:val="00AD1937"/>
    <w:rsid w:val="00AD3442"/>
    <w:rsid w:val="00AD43A8"/>
    <w:rsid w:val="00AD4A16"/>
    <w:rsid w:val="00AD587B"/>
    <w:rsid w:val="00AD5E8F"/>
    <w:rsid w:val="00AD5EC5"/>
    <w:rsid w:val="00AD5EEE"/>
    <w:rsid w:val="00AD5F84"/>
    <w:rsid w:val="00AD62B2"/>
    <w:rsid w:val="00AD703D"/>
    <w:rsid w:val="00AE0A3C"/>
    <w:rsid w:val="00AE1BB9"/>
    <w:rsid w:val="00AE218A"/>
    <w:rsid w:val="00AE2222"/>
    <w:rsid w:val="00AE2A0F"/>
    <w:rsid w:val="00AE2B5A"/>
    <w:rsid w:val="00AE3773"/>
    <w:rsid w:val="00AE3984"/>
    <w:rsid w:val="00AE66EC"/>
    <w:rsid w:val="00AE783B"/>
    <w:rsid w:val="00AF0CEC"/>
    <w:rsid w:val="00AF119D"/>
    <w:rsid w:val="00AF1631"/>
    <w:rsid w:val="00AF1BAD"/>
    <w:rsid w:val="00AF28B3"/>
    <w:rsid w:val="00AF3613"/>
    <w:rsid w:val="00AF734A"/>
    <w:rsid w:val="00AF772D"/>
    <w:rsid w:val="00B00632"/>
    <w:rsid w:val="00B01473"/>
    <w:rsid w:val="00B01476"/>
    <w:rsid w:val="00B02898"/>
    <w:rsid w:val="00B02BF7"/>
    <w:rsid w:val="00B03E79"/>
    <w:rsid w:val="00B05550"/>
    <w:rsid w:val="00B07294"/>
    <w:rsid w:val="00B07AEF"/>
    <w:rsid w:val="00B103D9"/>
    <w:rsid w:val="00B1074E"/>
    <w:rsid w:val="00B10A9F"/>
    <w:rsid w:val="00B113D7"/>
    <w:rsid w:val="00B115F8"/>
    <w:rsid w:val="00B1205D"/>
    <w:rsid w:val="00B12368"/>
    <w:rsid w:val="00B12A56"/>
    <w:rsid w:val="00B1410E"/>
    <w:rsid w:val="00B143E1"/>
    <w:rsid w:val="00B1468F"/>
    <w:rsid w:val="00B163B7"/>
    <w:rsid w:val="00B16476"/>
    <w:rsid w:val="00B17DA4"/>
    <w:rsid w:val="00B20CE3"/>
    <w:rsid w:val="00B20D73"/>
    <w:rsid w:val="00B21769"/>
    <w:rsid w:val="00B235A5"/>
    <w:rsid w:val="00B238DE"/>
    <w:rsid w:val="00B2460F"/>
    <w:rsid w:val="00B24CC1"/>
    <w:rsid w:val="00B25681"/>
    <w:rsid w:val="00B25E4C"/>
    <w:rsid w:val="00B26134"/>
    <w:rsid w:val="00B27105"/>
    <w:rsid w:val="00B27462"/>
    <w:rsid w:val="00B306D5"/>
    <w:rsid w:val="00B32131"/>
    <w:rsid w:val="00B32163"/>
    <w:rsid w:val="00B34326"/>
    <w:rsid w:val="00B36B5F"/>
    <w:rsid w:val="00B4015D"/>
    <w:rsid w:val="00B404E6"/>
    <w:rsid w:val="00B41534"/>
    <w:rsid w:val="00B4223F"/>
    <w:rsid w:val="00B42805"/>
    <w:rsid w:val="00B44374"/>
    <w:rsid w:val="00B448B9"/>
    <w:rsid w:val="00B459B8"/>
    <w:rsid w:val="00B45DD9"/>
    <w:rsid w:val="00B46B9E"/>
    <w:rsid w:val="00B478AD"/>
    <w:rsid w:val="00B47A5D"/>
    <w:rsid w:val="00B5023A"/>
    <w:rsid w:val="00B515C9"/>
    <w:rsid w:val="00B51A77"/>
    <w:rsid w:val="00B51FCA"/>
    <w:rsid w:val="00B526DA"/>
    <w:rsid w:val="00B52D3F"/>
    <w:rsid w:val="00B533A6"/>
    <w:rsid w:val="00B54664"/>
    <w:rsid w:val="00B553B8"/>
    <w:rsid w:val="00B5616B"/>
    <w:rsid w:val="00B567FC"/>
    <w:rsid w:val="00B56BB2"/>
    <w:rsid w:val="00B574D1"/>
    <w:rsid w:val="00B604DA"/>
    <w:rsid w:val="00B60733"/>
    <w:rsid w:val="00B6183E"/>
    <w:rsid w:val="00B619D7"/>
    <w:rsid w:val="00B620C1"/>
    <w:rsid w:val="00B63B58"/>
    <w:rsid w:val="00B63E5D"/>
    <w:rsid w:val="00B6416E"/>
    <w:rsid w:val="00B65A61"/>
    <w:rsid w:val="00B70866"/>
    <w:rsid w:val="00B70BB6"/>
    <w:rsid w:val="00B70FAD"/>
    <w:rsid w:val="00B719D8"/>
    <w:rsid w:val="00B71C52"/>
    <w:rsid w:val="00B71FD9"/>
    <w:rsid w:val="00B726D0"/>
    <w:rsid w:val="00B7396C"/>
    <w:rsid w:val="00B74FB9"/>
    <w:rsid w:val="00B75985"/>
    <w:rsid w:val="00B75CD8"/>
    <w:rsid w:val="00B76BA0"/>
    <w:rsid w:val="00B76CEB"/>
    <w:rsid w:val="00B77307"/>
    <w:rsid w:val="00B77D2A"/>
    <w:rsid w:val="00B80798"/>
    <w:rsid w:val="00B80C63"/>
    <w:rsid w:val="00B80D67"/>
    <w:rsid w:val="00B80E5D"/>
    <w:rsid w:val="00B82603"/>
    <w:rsid w:val="00B83201"/>
    <w:rsid w:val="00B85DF0"/>
    <w:rsid w:val="00B86CD6"/>
    <w:rsid w:val="00B86E6B"/>
    <w:rsid w:val="00B8736C"/>
    <w:rsid w:val="00B87C2E"/>
    <w:rsid w:val="00B87F51"/>
    <w:rsid w:val="00B90449"/>
    <w:rsid w:val="00B9125D"/>
    <w:rsid w:val="00B91B18"/>
    <w:rsid w:val="00B91C92"/>
    <w:rsid w:val="00B920A5"/>
    <w:rsid w:val="00B93062"/>
    <w:rsid w:val="00B940F6"/>
    <w:rsid w:val="00B943B9"/>
    <w:rsid w:val="00B948F5"/>
    <w:rsid w:val="00B9548C"/>
    <w:rsid w:val="00B95FFA"/>
    <w:rsid w:val="00B96F7D"/>
    <w:rsid w:val="00BA047C"/>
    <w:rsid w:val="00BA070A"/>
    <w:rsid w:val="00BA09B3"/>
    <w:rsid w:val="00BA0A26"/>
    <w:rsid w:val="00BA30A3"/>
    <w:rsid w:val="00BA381B"/>
    <w:rsid w:val="00BA4267"/>
    <w:rsid w:val="00BA43A7"/>
    <w:rsid w:val="00BA6963"/>
    <w:rsid w:val="00BA7A84"/>
    <w:rsid w:val="00BA7D11"/>
    <w:rsid w:val="00BB00B9"/>
    <w:rsid w:val="00BB0478"/>
    <w:rsid w:val="00BB1FA8"/>
    <w:rsid w:val="00BB24F6"/>
    <w:rsid w:val="00BB3708"/>
    <w:rsid w:val="00BB3C25"/>
    <w:rsid w:val="00BB4319"/>
    <w:rsid w:val="00BB45FB"/>
    <w:rsid w:val="00BB48CA"/>
    <w:rsid w:val="00BB6148"/>
    <w:rsid w:val="00BC0E74"/>
    <w:rsid w:val="00BC34F6"/>
    <w:rsid w:val="00BC34FB"/>
    <w:rsid w:val="00BC410E"/>
    <w:rsid w:val="00BC4231"/>
    <w:rsid w:val="00BC446F"/>
    <w:rsid w:val="00BC47CB"/>
    <w:rsid w:val="00BC4834"/>
    <w:rsid w:val="00BC4877"/>
    <w:rsid w:val="00BC5888"/>
    <w:rsid w:val="00BC6041"/>
    <w:rsid w:val="00BC66CE"/>
    <w:rsid w:val="00BC7B6A"/>
    <w:rsid w:val="00BD2134"/>
    <w:rsid w:val="00BD2A47"/>
    <w:rsid w:val="00BD351D"/>
    <w:rsid w:val="00BD3817"/>
    <w:rsid w:val="00BD5BBC"/>
    <w:rsid w:val="00BD7437"/>
    <w:rsid w:val="00BD7576"/>
    <w:rsid w:val="00BE15D1"/>
    <w:rsid w:val="00BE4D8B"/>
    <w:rsid w:val="00BE5911"/>
    <w:rsid w:val="00BE61A7"/>
    <w:rsid w:val="00BE68EE"/>
    <w:rsid w:val="00BE6BF5"/>
    <w:rsid w:val="00BE75D5"/>
    <w:rsid w:val="00BF1525"/>
    <w:rsid w:val="00BF1F09"/>
    <w:rsid w:val="00BF2056"/>
    <w:rsid w:val="00BF39BD"/>
    <w:rsid w:val="00BF4455"/>
    <w:rsid w:val="00BF47C9"/>
    <w:rsid w:val="00BF4E44"/>
    <w:rsid w:val="00BF5242"/>
    <w:rsid w:val="00BF57CA"/>
    <w:rsid w:val="00BF580D"/>
    <w:rsid w:val="00BF601C"/>
    <w:rsid w:val="00BF615D"/>
    <w:rsid w:val="00C02DE6"/>
    <w:rsid w:val="00C03283"/>
    <w:rsid w:val="00C032AF"/>
    <w:rsid w:val="00C043A6"/>
    <w:rsid w:val="00C04E04"/>
    <w:rsid w:val="00C05D9D"/>
    <w:rsid w:val="00C070C1"/>
    <w:rsid w:val="00C100A1"/>
    <w:rsid w:val="00C112F8"/>
    <w:rsid w:val="00C11920"/>
    <w:rsid w:val="00C1197F"/>
    <w:rsid w:val="00C11AED"/>
    <w:rsid w:val="00C12195"/>
    <w:rsid w:val="00C12C77"/>
    <w:rsid w:val="00C12D7B"/>
    <w:rsid w:val="00C14429"/>
    <w:rsid w:val="00C1524D"/>
    <w:rsid w:val="00C16DD2"/>
    <w:rsid w:val="00C20525"/>
    <w:rsid w:val="00C20687"/>
    <w:rsid w:val="00C21139"/>
    <w:rsid w:val="00C213C1"/>
    <w:rsid w:val="00C2177A"/>
    <w:rsid w:val="00C219D5"/>
    <w:rsid w:val="00C21E27"/>
    <w:rsid w:val="00C21FB7"/>
    <w:rsid w:val="00C221C8"/>
    <w:rsid w:val="00C22B7F"/>
    <w:rsid w:val="00C23371"/>
    <w:rsid w:val="00C23556"/>
    <w:rsid w:val="00C2414B"/>
    <w:rsid w:val="00C24F7D"/>
    <w:rsid w:val="00C2548A"/>
    <w:rsid w:val="00C30C81"/>
    <w:rsid w:val="00C31949"/>
    <w:rsid w:val="00C3202E"/>
    <w:rsid w:val="00C323FA"/>
    <w:rsid w:val="00C331A0"/>
    <w:rsid w:val="00C33B2D"/>
    <w:rsid w:val="00C34463"/>
    <w:rsid w:val="00C355B6"/>
    <w:rsid w:val="00C3704E"/>
    <w:rsid w:val="00C371EB"/>
    <w:rsid w:val="00C37AA4"/>
    <w:rsid w:val="00C41BB5"/>
    <w:rsid w:val="00C42B63"/>
    <w:rsid w:val="00C42CA9"/>
    <w:rsid w:val="00C431DB"/>
    <w:rsid w:val="00C455D8"/>
    <w:rsid w:val="00C50078"/>
    <w:rsid w:val="00C503D9"/>
    <w:rsid w:val="00C50A65"/>
    <w:rsid w:val="00C5197B"/>
    <w:rsid w:val="00C51A2F"/>
    <w:rsid w:val="00C52531"/>
    <w:rsid w:val="00C52925"/>
    <w:rsid w:val="00C52DD8"/>
    <w:rsid w:val="00C52F6B"/>
    <w:rsid w:val="00C53970"/>
    <w:rsid w:val="00C54943"/>
    <w:rsid w:val="00C56133"/>
    <w:rsid w:val="00C56C73"/>
    <w:rsid w:val="00C56E22"/>
    <w:rsid w:val="00C606B8"/>
    <w:rsid w:val="00C6070C"/>
    <w:rsid w:val="00C6092A"/>
    <w:rsid w:val="00C61348"/>
    <w:rsid w:val="00C6143E"/>
    <w:rsid w:val="00C62945"/>
    <w:rsid w:val="00C62CBA"/>
    <w:rsid w:val="00C639AF"/>
    <w:rsid w:val="00C63E79"/>
    <w:rsid w:val="00C643CB"/>
    <w:rsid w:val="00C64C4A"/>
    <w:rsid w:val="00C65980"/>
    <w:rsid w:val="00C70BB4"/>
    <w:rsid w:val="00C70EA3"/>
    <w:rsid w:val="00C71B6B"/>
    <w:rsid w:val="00C72071"/>
    <w:rsid w:val="00C72E49"/>
    <w:rsid w:val="00C7306C"/>
    <w:rsid w:val="00C73679"/>
    <w:rsid w:val="00C7406F"/>
    <w:rsid w:val="00C7424B"/>
    <w:rsid w:val="00C74AAD"/>
    <w:rsid w:val="00C74CEA"/>
    <w:rsid w:val="00C7638D"/>
    <w:rsid w:val="00C76FD7"/>
    <w:rsid w:val="00C77E9A"/>
    <w:rsid w:val="00C81053"/>
    <w:rsid w:val="00C817FE"/>
    <w:rsid w:val="00C81805"/>
    <w:rsid w:val="00C82FAB"/>
    <w:rsid w:val="00C83415"/>
    <w:rsid w:val="00C835C9"/>
    <w:rsid w:val="00C851BF"/>
    <w:rsid w:val="00C853F9"/>
    <w:rsid w:val="00C85E13"/>
    <w:rsid w:val="00C8753A"/>
    <w:rsid w:val="00C9125C"/>
    <w:rsid w:val="00C914DC"/>
    <w:rsid w:val="00C91D8D"/>
    <w:rsid w:val="00C926BA"/>
    <w:rsid w:val="00C935F3"/>
    <w:rsid w:val="00C965CC"/>
    <w:rsid w:val="00C96BC0"/>
    <w:rsid w:val="00C96E97"/>
    <w:rsid w:val="00CA05E6"/>
    <w:rsid w:val="00CA0770"/>
    <w:rsid w:val="00CA0EE0"/>
    <w:rsid w:val="00CA19D3"/>
    <w:rsid w:val="00CA336E"/>
    <w:rsid w:val="00CA3471"/>
    <w:rsid w:val="00CA5F32"/>
    <w:rsid w:val="00CA6FF7"/>
    <w:rsid w:val="00CA744E"/>
    <w:rsid w:val="00CA781C"/>
    <w:rsid w:val="00CB6D2E"/>
    <w:rsid w:val="00CB738A"/>
    <w:rsid w:val="00CB7DCF"/>
    <w:rsid w:val="00CC01D8"/>
    <w:rsid w:val="00CC1056"/>
    <w:rsid w:val="00CC2100"/>
    <w:rsid w:val="00CC219A"/>
    <w:rsid w:val="00CC2A02"/>
    <w:rsid w:val="00CC3A77"/>
    <w:rsid w:val="00CC4A3D"/>
    <w:rsid w:val="00CC57D0"/>
    <w:rsid w:val="00CC6E7B"/>
    <w:rsid w:val="00CC7120"/>
    <w:rsid w:val="00CC7865"/>
    <w:rsid w:val="00CD0019"/>
    <w:rsid w:val="00CD0129"/>
    <w:rsid w:val="00CD068A"/>
    <w:rsid w:val="00CD1F7F"/>
    <w:rsid w:val="00CD2252"/>
    <w:rsid w:val="00CD31D4"/>
    <w:rsid w:val="00CD3B30"/>
    <w:rsid w:val="00CD414A"/>
    <w:rsid w:val="00CD4BE8"/>
    <w:rsid w:val="00CD4FD7"/>
    <w:rsid w:val="00CD735F"/>
    <w:rsid w:val="00CD7B88"/>
    <w:rsid w:val="00CD7DC8"/>
    <w:rsid w:val="00CE04F6"/>
    <w:rsid w:val="00CE20A8"/>
    <w:rsid w:val="00CE243F"/>
    <w:rsid w:val="00CE25A7"/>
    <w:rsid w:val="00CE2EEA"/>
    <w:rsid w:val="00CE45DA"/>
    <w:rsid w:val="00CE47DF"/>
    <w:rsid w:val="00CE5E8C"/>
    <w:rsid w:val="00CE5F4B"/>
    <w:rsid w:val="00CE6934"/>
    <w:rsid w:val="00CE77B3"/>
    <w:rsid w:val="00CE79C5"/>
    <w:rsid w:val="00CF1321"/>
    <w:rsid w:val="00CF2AF6"/>
    <w:rsid w:val="00CF2DCC"/>
    <w:rsid w:val="00CF3060"/>
    <w:rsid w:val="00CF3F1E"/>
    <w:rsid w:val="00CF4421"/>
    <w:rsid w:val="00CF44A2"/>
    <w:rsid w:val="00CF4828"/>
    <w:rsid w:val="00CF4A62"/>
    <w:rsid w:val="00CF5A2F"/>
    <w:rsid w:val="00CF7448"/>
    <w:rsid w:val="00CF7FE8"/>
    <w:rsid w:val="00D00FCA"/>
    <w:rsid w:val="00D02DA9"/>
    <w:rsid w:val="00D0342D"/>
    <w:rsid w:val="00D046F2"/>
    <w:rsid w:val="00D057CE"/>
    <w:rsid w:val="00D06F2A"/>
    <w:rsid w:val="00D07C19"/>
    <w:rsid w:val="00D106DA"/>
    <w:rsid w:val="00D1215A"/>
    <w:rsid w:val="00D12823"/>
    <w:rsid w:val="00D13149"/>
    <w:rsid w:val="00D13F91"/>
    <w:rsid w:val="00D159FF"/>
    <w:rsid w:val="00D17844"/>
    <w:rsid w:val="00D21E64"/>
    <w:rsid w:val="00D21E9D"/>
    <w:rsid w:val="00D221D3"/>
    <w:rsid w:val="00D228DF"/>
    <w:rsid w:val="00D233C5"/>
    <w:rsid w:val="00D23A06"/>
    <w:rsid w:val="00D2409C"/>
    <w:rsid w:val="00D2543B"/>
    <w:rsid w:val="00D25A42"/>
    <w:rsid w:val="00D26298"/>
    <w:rsid w:val="00D266DA"/>
    <w:rsid w:val="00D26F74"/>
    <w:rsid w:val="00D3008D"/>
    <w:rsid w:val="00D30E3D"/>
    <w:rsid w:val="00D31B2B"/>
    <w:rsid w:val="00D31FF4"/>
    <w:rsid w:val="00D33140"/>
    <w:rsid w:val="00D33276"/>
    <w:rsid w:val="00D33A0C"/>
    <w:rsid w:val="00D3428F"/>
    <w:rsid w:val="00D35833"/>
    <w:rsid w:val="00D3598E"/>
    <w:rsid w:val="00D35F62"/>
    <w:rsid w:val="00D35F84"/>
    <w:rsid w:val="00D36559"/>
    <w:rsid w:val="00D403DA"/>
    <w:rsid w:val="00D40888"/>
    <w:rsid w:val="00D4092B"/>
    <w:rsid w:val="00D415B0"/>
    <w:rsid w:val="00D43752"/>
    <w:rsid w:val="00D43A0B"/>
    <w:rsid w:val="00D44D53"/>
    <w:rsid w:val="00D458A6"/>
    <w:rsid w:val="00D4593A"/>
    <w:rsid w:val="00D45E18"/>
    <w:rsid w:val="00D45FEC"/>
    <w:rsid w:val="00D46624"/>
    <w:rsid w:val="00D46AFE"/>
    <w:rsid w:val="00D46F24"/>
    <w:rsid w:val="00D46FE1"/>
    <w:rsid w:val="00D47A82"/>
    <w:rsid w:val="00D47BD2"/>
    <w:rsid w:val="00D47C75"/>
    <w:rsid w:val="00D50193"/>
    <w:rsid w:val="00D502C5"/>
    <w:rsid w:val="00D504E8"/>
    <w:rsid w:val="00D5230F"/>
    <w:rsid w:val="00D52EDF"/>
    <w:rsid w:val="00D54318"/>
    <w:rsid w:val="00D56B8E"/>
    <w:rsid w:val="00D60280"/>
    <w:rsid w:val="00D62686"/>
    <w:rsid w:val="00D62A7B"/>
    <w:rsid w:val="00D636E0"/>
    <w:rsid w:val="00D63D4A"/>
    <w:rsid w:val="00D640F8"/>
    <w:rsid w:val="00D648CD"/>
    <w:rsid w:val="00D65D84"/>
    <w:rsid w:val="00D7104F"/>
    <w:rsid w:val="00D73219"/>
    <w:rsid w:val="00D73433"/>
    <w:rsid w:val="00D75201"/>
    <w:rsid w:val="00D758B8"/>
    <w:rsid w:val="00D76450"/>
    <w:rsid w:val="00D778E5"/>
    <w:rsid w:val="00D77DF6"/>
    <w:rsid w:val="00D80064"/>
    <w:rsid w:val="00D801BB"/>
    <w:rsid w:val="00D804B3"/>
    <w:rsid w:val="00D806BA"/>
    <w:rsid w:val="00D81A27"/>
    <w:rsid w:val="00D81A38"/>
    <w:rsid w:val="00D81C40"/>
    <w:rsid w:val="00D833EC"/>
    <w:rsid w:val="00D84D9B"/>
    <w:rsid w:val="00D85344"/>
    <w:rsid w:val="00D86520"/>
    <w:rsid w:val="00D87D29"/>
    <w:rsid w:val="00D87E13"/>
    <w:rsid w:val="00D929F0"/>
    <w:rsid w:val="00D93242"/>
    <w:rsid w:val="00D94378"/>
    <w:rsid w:val="00D9476F"/>
    <w:rsid w:val="00D9505C"/>
    <w:rsid w:val="00D9697C"/>
    <w:rsid w:val="00D96B6D"/>
    <w:rsid w:val="00D96B72"/>
    <w:rsid w:val="00DA0206"/>
    <w:rsid w:val="00DA0227"/>
    <w:rsid w:val="00DA0445"/>
    <w:rsid w:val="00DA04FE"/>
    <w:rsid w:val="00DA0772"/>
    <w:rsid w:val="00DA0C97"/>
    <w:rsid w:val="00DA0CD1"/>
    <w:rsid w:val="00DA1026"/>
    <w:rsid w:val="00DA269A"/>
    <w:rsid w:val="00DA28CD"/>
    <w:rsid w:val="00DA324F"/>
    <w:rsid w:val="00DA3A28"/>
    <w:rsid w:val="00DA4140"/>
    <w:rsid w:val="00DA452D"/>
    <w:rsid w:val="00DA4873"/>
    <w:rsid w:val="00DA4A7D"/>
    <w:rsid w:val="00DA51C0"/>
    <w:rsid w:val="00DA54A5"/>
    <w:rsid w:val="00DA5C8A"/>
    <w:rsid w:val="00DA6FB6"/>
    <w:rsid w:val="00DA7F25"/>
    <w:rsid w:val="00DB117C"/>
    <w:rsid w:val="00DB2088"/>
    <w:rsid w:val="00DB2B9E"/>
    <w:rsid w:val="00DB3F53"/>
    <w:rsid w:val="00DB4475"/>
    <w:rsid w:val="00DB57F9"/>
    <w:rsid w:val="00DB7142"/>
    <w:rsid w:val="00DB7A4F"/>
    <w:rsid w:val="00DC05E7"/>
    <w:rsid w:val="00DC0851"/>
    <w:rsid w:val="00DC0C37"/>
    <w:rsid w:val="00DC1455"/>
    <w:rsid w:val="00DC1B05"/>
    <w:rsid w:val="00DC1E12"/>
    <w:rsid w:val="00DC3077"/>
    <w:rsid w:val="00DC3A05"/>
    <w:rsid w:val="00DC3D99"/>
    <w:rsid w:val="00DC50A8"/>
    <w:rsid w:val="00DC50F8"/>
    <w:rsid w:val="00DC6848"/>
    <w:rsid w:val="00DC6F56"/>
    <w:rsid w:val="00DC7BA5"/>
    <w:rsid w:val="00DD037D"/>
    <w:rsid w:val="00DD0D2F"/>
    <w:rsid w:val="00DD1259"/>
    <w:rsid w:val="00DD1ADF"/>
    <w:rsid w:val="00DD279F"/>
    <w:rsid w:val="00DD2DA2"/>
    <w:rsid w:val="00DD3E70"/>
    <w:rsid w:val="00DD425B"/>
    <w:rsid w:val="00DD4A6B"/>
    <w:rsid w:val="00DD5182"/>
    <w:rsid w:val="00DD573A"/>
    <w:rsid w:val="00DD6310"/>
    <w:rsid w:val="00DD67F3"/>
    <w:rsid w:val="00DD7A51"/>
    <w:rsid w:val="00DE06B6"/>
    <w:rsid w:val="00DE210D"/>
    <w:rsid w:val="00DE4B5A"/>
    <w:rsid w:val="00DE4C02"/>
    <w:rsid w:val="00DE51BC"/>
    <w:rsid w:val="00DE6D51"/>
    <w:rsid w:val="00DE77A0"/>
    <w:rsid w:val="00DE7B26"/>
    <w:rsid w:val="00DF0100"/>
    <w:rsid w:val="00DF09CD"/>
    <w:rsid w:val="00DF0C04"/>
    <w:rsid w:val="00DF1D56"/>
    <w:rsid w:val="00DF20AC"/>
    <w:rsid w:val="00DF2ABD"/>
    <w:rsid w:val="00DF3937"/>
    <w:rsid w:val="00DF4294"/>
    <w:rsid w:val="00DF4DC1"/>
    <w:rsid w:val="00DF55C4"/>
    <w:rsid w:val="00DF5D61"/>
    <w:rsid w:val="00DF66F3"/>
    <w:rsid w:val="00E00265"/>
    <w:rsid w:val="00E00605"/>
    <w:rsid w:val="00E010D0"/>
    <w:rsid w:val="00E0151E"/>
    <w:rsid w:val="00E0187B"/>
    <w:rsid w:val="00E01920"/>
    <w:rsid w:val="00E029CC"/>
    <w:rsid w:val="00E02BB5"/>
    <w:rsid w:val="00E0328F"/>
    <w:rsid w:val="00E033D8"/>
    <w:rsid w:val="00E045C5"/>
    <w:rsid w:val="00E04B4E"/>
    <w:rsid w:val="00E050B9"/>
    <w:rsid w:val="00E0604D"/>
    <w:rsid w:val="00E0679A"/>
    <w:rsid w:val="00E06DE5"/>
    <w:rsid w:val="00E103F6"/>
    <w:rsid w:val="00E1093B"/>
    <w:rsid w:val="00E10CBF"/>
    <w:rsid w:val="00E11473"/>
    <w:rsid w:val="00E12598"/>
    <w:rsid w:val="00E12890"/>
    <w:rsid w:val="00E12AC8"/>
    <w:rsid w:val="00E13350"/>
    <w:rsid w:val="00E13735"/>
    <w:rsid w:val="00E153A9"/>
    <w:rsid w:val="00E15B19"/>
    <w:rsid w:val="00E20BAB"/>
    <w:rsid w:val="00E22F52"/>
    <w:rsid w:val="00E27357"/>
    <w:rsid w:val="00E30753"/>
    <w:rsid w:val="00E30B72"/>
    <w:rsid w:val="00E30ED8"/>
    <w:rsid w:val="00E314F4"/>
    <w:rsid w:val="00E31CF1"/>
    <w:rsid w:val="00E3239A"/>
    <w:rsid w:val="00E33B34"/>
    <w:rsid w:val="00E35D84"/>
    <w:rsid w:val="00E3710B"/>
    <w:rsid w:val="00E372E1"/>
    <w:rsid w:val="00E37599"/>
    <w:rsid w:val="00E376A9"/>
    <w:rsid w:val="00E37FA6"/>
    <w:rsid w:val="00E414AC"/>
    <w:rsid w:val="00E41CB3"/>
    <w:rsid w:val="00E41F9B"/>
    <w:rsid w:val="00E4384A"/>
    <w:rsid w:val="00E43DD4"/>
    <w:rsid w:val="00E44E5C"/>
    <w:rsid w:val="00E45C82"/>
    <w:rsid w:val="00E5078B"/>
    <w:rsid w:val="00E51053"/>
    <w:rsid w:val="00E51373"/>
    <w:rsid w:val="00E52320"/>
    <w:rsid w:val="00E52F5C"/>
    <w:rsid w:val="00E53823"/>
    <w:rsid w:val="00E54EBD"/>
    <w:rsid w:val="00E558FA"/>
    <w:rsid w:val="00E56D94"/>
    <w:rsid w:val="00E5773A"/>
    <w:rsid w:val="00E57971"/>
    <w:rsid w:val="00E61104"/>
    <w:rsid w:val="00E62588"/>
    <w:rsid w:val="00E6492D"/>
    <w:rsid w:val="00E65246"/>
    <w:rsid w:val="00E663B6"/>
    <w:rsid w:val="00E675E6"/>
    <w:rsid w:val="00E707E8"/>
    <w:rsid w:val="00E717F1"/>
    <w:rsid w:val="00E7264D"/>
    <w:rsid w:val="00E72C16"/>
    <w:rsid w:val="00E72CCC"/>
    <w:rsid w:val="00E72F46"/>
    <w:rsid w:val="00E7321F"/>
    <w:rsid w:val="00E732AC"/>
    <w:rsid w:val="00E74F03"/>
    <w:rsid w:val="00E75BEA"/>
    <w:rsid w:val="00E75E18"/>
    <w:rsid w:val="00E773D3"/>
    <w:rsid w:val="00E77CB2"/>
    <w:rsid w:val="00E806FB"/>
    <w:rsid w:val="00E80FF3"/>
    <w:rsid w:val="00E8713B"/>
    <w:rsid w:val="00E876AF"/>
    <w:rsid w:val="00E87C14"/>
    <w:rsid w:val="00E87F4E"/>
    <w:rsid w:val="00E91DA4"/>
    <w:rsid w:val="00E920A1"/>
    <w:rsid w:val="00E9293A"/>
    <w:rsid w:val="00E92C42"/>
    <w:rsid w:val="00E935A5"/>
    <w:rsid w:val="00E94061"/>
    <w:rsid w:val="00E95AF2"/>
    <w:rsid w:val="00E95C68"/>
    <w:rsid w:val="00E960FD"/>
    <w:rsid w:val="00E97E70"/>
    <w:rsid w:val="00EA0621"/>
    <w:rsid w:val="00EA073F"/>
    <w:rsid w:val="00EA0A00"/>
    <w:rsid w:val="00EA1A53"/>
    <w:rsid w:val="00EA1FF3"/>
    <w:rsid w:val="00EA47B7"/>
    <w:rsid w:val="00EA4A22"/>
    <w:rsid w:val="00EA4E2A"/>
    <w:rsid w:val="00EA70DF"/>
    <w:rsid w:val="00EA730A"/>
    <w:rsid w:val="00EA7791"/>
    <w:rsid w:val="00EB07CA"/>
    <w:rsid w:val="00EB08DD"/>
    <w:rsid w:val="00EB1836"/>
    <w:rsid w:val="00EB1BFF"/>
    <w:rsid w:val="00EB22DD"/>
    <w:rsid w:val="00EB2F8A"/>
    <w:rsid w:val="00EB34C4"/>
    <w:rsid w:val="00EB3633"/>
    <w:rsid w:val="00EB5F81"/>
    <w:rsid w:val="00EB634C"/>
    <w:rsid w:val="00EB6CEE"/>
    <w:rsid w:val="00EC0470"/>
    <w:rsid w:val="00EC05A6"/>
    <w:rsid w:val="00EC1E0C"/>
    <w:rsid w:val="00EC364E"/>
    <w:rsid w:val="00EC3E28"/>
    <w:rsid w:val="00EC4008"/>
    <w:rsid w:val="00EC6636"/>
    <w:rsid w:val="00EC77A9"/>
    <w:rsid w:val="00ED06B1"/>
    <w:rsid w:val="00ED0859"/>
    <w:rsid w:val="00ED1281"/>
    <w:rsid w:val="00ED262A"/>
    <w:rsid w:val="00ED3051"/>
    <w:rsid w:val="00ED432F"/>
    <w:rsid w:val="00ED63A6"/>
    <w:rsid w:val="00ED6B0C"/>
    <w:rsid w:val="00ED6C7D"/>
    <w:rsid w:val="00ED6E2D"/>
    <w:rsid w:val="00ED763A"/>
    <w:rsid w:val="00EE00F0"/>
    <w:rsid w:val="00EE13A3"/>
    <w:rsid w:val="00EE1A83"/>
    <w:rsid w:val="00EE1C65"/>
    <w:rsid w:val="00EE1C81"/>
    <w:rsid w:val="00EE264D"/>
    <w:rsid w:val="00EE3603"/>
    <w:rsid w:val="00EE43F9"/>
    <w:rsid w:val="00EE4963"/>
    <w:rsid w:val="00EE615F"/>
    <w:rsid w:val="00EE6558"/>
    <w:rsid w:val="00EE6B1A"/>
    <w:rsid w:val="00EE7B1B"/>
    <w:rsid w:val="00EF1116"/>
    <w:rsid w:val="00EF1DC9"/>
    <w:rsid w:val="00EF241A"/>
    <w:rsid w:val="00EF49FB"/>
    <w:rsid w:val="00EF4EBC"/>
    <w:rsid w:val="00EF5EB3"/>
    <w:rsid w:val="00EF654B"/>
    <w:rsid w:val="00EF6707"/>
    <w:rsid w:val="00EF7441"/>
    <w:rsid w:val="00EF7B01"/>
    <w:rsid w:val="00EF7DEF"/>
    <w:rsid w:val="00F00762"/>
    <w:rsid w:val="00F01FA9"/>
    <w:rsid w:val="00F02A19"/>
    <w:rsid w:val="00F02A62"/>
    <w:rsid w:val="00F02EA7"/>
    <w:rsid w:val="00F03454"/>
    <w:rsid w:val="00F0384A"/>
    <w:rsid w:val="00F0413C"/>
    <w:rsid w:val="00F042D3"/>
    <w:rsid w:val="00F0451D"/>
    <w:rsid w:val="00F0519D"/>
    <w:rsid w:val="00F06DE7"/>
    <w:rsid w:val="00F077D2"/>
    <w:rsid w:val="00F07BFE"/>
    <w:rsid w:val="00F100F1"/>
    <w:rsid w:val="00F104D0"/>
    <w:rsid w:val="00F1089B"/>
    <w:rsid w:val="00F1104B"/>
    <w:rsid w:val="00F13030"/>
    <w:rsid w:val="00F14D66"/>
    <w:rsid w:val="00F14D94"/>
    <w:rsid w:val="00F16299"/>
    <w:rsid w:val="00F16807"/>
    <w:rsid w:val="00F177EB"/>
    <w:rsid w:val="00F17BDC"/>
    <w:rsid w:val="00F20508"/>
    <w:rsid w:val="00F21143"/>
    <w:rsid w:val="00F22C05"/>
    <w:rsid w:val="00F23CF9"/>
    <w:rsid w:val="00F23EC2"/>
    <w:rsid w:val="00F244D6"/>
    <w:rsid w:val="00F245B7"/>
    <w:rsid w:val="00F24CB3"/>
    <w:rsid w:val="00F2546B"/>
    <w:rsid w:val="00F27C0C"/>
    <w:rsid w:val="00F27F0F"/>
    <w:rsid w:val="00F3000F"/>
    <w:rsid w:val="00F3086C"/>
    <w:rsid w:val="00F309A3"/>
    <w:rsid w:val="00F30CF3"/>
    <w:rsid w:val="00F3189D"/>
    <w:rsid w:val="00F31BDD"/>
    <w:rsid w:val="00F32732"/>
    <w:rsid w:val="00F36408"/>
    <w:rsid w:val="00F37851"/>
    <w:rsid w:val="00F37CB9"/>
    <w:rsid w:val="00F40B53"/>
    <w:rsid w:val="00F40CA7"/>
    <w:rsid w:val="00F41627"/>
    <w:rsid w:val="00F420A2"/>
    <w:rsid w:val="00F42D01"/>
    <w:rsid w:val="00F43E2F"/>
    <w:rsid w:val="00F44C0C"/>
    <w:rsid w:val="00F45E5E"/>
    <w:rsid w:val="00F46246"/>
    <w:rsid w:val="00F46F0E"/>
    <w:rsid w:val="00F47F03"/>
    <w:rsid w:val="00F50ABB"/>
    <w:rsid w:val="00F50E24"/>
    <w:rsid w:val="00F51444"/>
    <w:rsid w:val="00F51A75"/>
    <w:rsid w:val="00F52556"/>
    <w:rsid w:val="00F538FD"/>
    <w:rsid w:val="00F53C10"/>
    <w:rsid w:val="00F560AC"/>
    <w:rsid w:val="00F561D9"/>
    <w:rsid w:val="00F56354"/>
    <w:rsid w:val="00F578E1"/>
    <w:rsid w:val="00F6003C"/>
    <w:rsid w:val="00F60ABB"/>
    <w:rsid w:val="00F6123F"/>
    <w:rsid w:val="00F61CEC"/>
    <w:rsid w:val="00F61D16"/>
    <w:rsid w:val="00F6205C"/>
    <w:rsid w:val="00F624AB"/>
    <w:rsid w:val="00F628F7"/>
    <w:rsid w:val="00F62A7C"/>
    <w:rsid w:val="00F630CC"/>
    <w:rsid w:val="00F64169"/>
    <w:rsid w:val="00F6443B"/>
    <w:rsid w:val="00F646EE"/>
    <w:rsid w:val="00F649D6"/>
    <w:rsid w:val="00F65667"/>
    <w:rsid w:val="00F66150"/>
    <w:rsid w:val="00F66574"/>
    <w:rsid w:val="00F678D3"/>
    <w:rsid w:val="00F67F83"/>
    <w:rsid w:val="00F7107E"/>
    <w:rsid w:val="00F717F1"/>
    <w:rsid w:val="00F71879"/>
    <w:rsid w:val="00F721AC"/>
    <w:rsid w:val="00F72C8C"/>
    <w:rsid w:val="00F72EE6"/>
    <w:rsid w:val="00F7378A"/>
    <w:rsid w:val="00F73970"/>
    <w:rsid w:val="00F75743"/>
    <w:rsid w:val="00F75891"/>
    <w:rsid w:val="00F75CE4"/>
    <w:rsid w:val="00F75D09"/>
    <w:rsid w:val="00F76966"/>
    <w:rsid w:val="00F771FC"/>
    <w:rsid w:val="00F7732B"/>
    <w:rsid w:val="00F77ADA"/>
    <w:rsid w:val="00F77D8D"/>
    <w:rsid w:val="00F8072A"/>
    <w:rsid w:val="00F81BDE"/>
    <w:rsid w:val="00F82257"/>
    <w:rsid w:val="00F822D6"/>
    <w:rsid w:val="00F82850"/>
    <w:rsid w:val="00F82B00"/>
    <w:rsid w:val="00F82C54"/>
    <w:rsid w:val="00F82ED8"/>
    <w:rsid w:val="00F82F10"/>
    <w:rsid w:val="00F84091"/>
    <w:rsid w:val="00F85849"/>
    <w:rsid w:val="00F86B1F"/>
    <w:rsid w:val="00F87193"/>
    <w:rsid w:val="00F872CE"/>
    <w:rsid w:val="00F87D6C"/>
    <w:rsid w:val="00F90B71"/>
    <w:rsid w:val="00F91089"/>
    <w:rsid w:val="00F91C0E"/>
    <w:rsid w:val="00F938D2"/>
    <w:rsid w:val="00F945D7"/>
    <w:rsid w:val="00F94960"/>
    <w:rsid w:val="00F94AB2"/>
    <w:rsid w:val="00F95546"/>
    <w:rsid w:val="00F95ADD"/>
    <w:rsid w:val="00F9644D"/>
    <w:rsid w:val="00F968D0"/>
    <w:rsid w:val="00F96C11"/>
    <w:rsid w:val="00F972F9"/>
    <w:rsid w:val="00FA044A"/>
    <w:rsid w:val="00FA10DC"/>
    <w:rsid w:val="00FA3168"/>
    <w:rsid w:val="00FA356F"/>
    <w:rsid w:val="00FA436C"/>
    <w:rsid w:val="00FA44E9"/>
    <w:rsid w:val="00FA5901"/>
    <w:rsid w:val="00FA60AC"/>
    <w:rsid w:val="00FA71E5"/>
    <w:rsid w:val="00FA79F9"/>
    <w:rsid w:val="00FB0236"/>
    <w:rsid w:val="00FB1DC9"/>
    <w:rsid w:val="00FB21CC"/>
    <w:rsid w:val="00FB36E1"/>
    <w:rsid w:val="00FB37CD"/>
    <w:rsid w:val="00FB5311"/>
    <w:rsid w:val="00FB544B"/>
    <w:rsid w:val="00FB5CF6"/>
    <w:rsid w:val="00FB6101"/>
    <w:rsid w:val="00FB65C4"/>
    <w:rsid w:val="00FB6646"/>
    <w:rsid w:val="00FB747F"/>
    <w:rsid w:val="00FC0B28"/>
    <w:rsid w:val="00FC282B"/>
    <w:rsid w:val="00FC3431"/>
    <w:rsid w:val="00FC4E96"/>
    <w:rsid w:val="00FD02AA"/>
    <w:rsid w:val="00FD0FF0"/>
    <w:rsid w:val="00FD15CF"/>
    <w:rsid w:val="00FD1E3C"/>
    <w:rsid w:val="00FD20EA"/>
    <w:rsid w:val="00FD23CE"/>
    <w:rsid w:val="00FD2A0A"/>
    <w:rsid w:val="00FD323D"/>
    <w:rsid w:val="00FD5021"/>
    <w:rsid w:val="00FD53B0"/>
    <w:rsid w:val="00FD715B"/>
    <w:rsid w:val="00FD74E9"/>
    <w:rsid w:val="00FE0AC0"/>
    <w:rsid w:val="00FE273B"/>
    <w:rsid w:val="00FE3B8B"/>
    <w:rsid w:val="00FE3EC4"/>
    <w:rsid w:val="00FE42D2"/>
    <w:rsid w:val="00FE5640"/>
    <w:rsid w:val="00FE5CF5"/>
    <w:rsid w:val="00FE5E77"/>
    <w:rsid w:val="00FE639F"/>
    <w:rsid w:val="00FE72CE"/>
    <w:rsid w:val="00FE76CD"/>
    <w:rsid w:val="00FF0B3A"/>
    <w:rsid w:val="00FF0D04"/>
    <w:rsid w:val="00FF1771"/>
    <w:rsid w:val="00FF1A53"/>
    <w:rsid w:val="00FF211B"/>
    <w:rsid w:val="00FF26E4"/>
    <w:rsid w:val="00FF3161"/>
    <w:rsid w:val="00FF32F9"/>
    <w:rsid w:val="00FF39D4"/>
    <w:rsid w:val="00FF4309"/>
    <w:rsid w:val="00FF4CA2"/>
    <w:rsid w:val="00FF51AB"/>
    <w:rsid w:val="00FF5503"/>
    <w:rsid w:val="00FF6614"/>
    <w:rsid w:val="00FF6DBC"/>
    <w:rsid w:val="00FF6F8E"/>
    <w:rsid w:val="00FF72A7"/>
    <w:rsid w:val="00FF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2EAF3"/>
  <w15:chartTrackingRefBased/>
  <w15:docId w15:val="{82FB10E3-3F11-4124-B3CD-329D2C14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181"/>
    <w:pPr>
      <w:keepNext/>
      <w:keepLines/>
      <w:spacing w:before="240" w:after="240"/>
      <w:outlineLvl w:val="0"/>
    </w:pPr>
    <w:rPr>
      <w:rFonts w:ascii="Garamond" w:eastAsiaTheme="majorEastAsia" w:hAnsi="Garamond" w:cstheme="majorBidi"/>
      <w:b/>
      <w:sz w:val="25"/>
      <w:szCs w:val="40"/>
      <w:u w:val="single"/>
    </w:rPr>
  </w:style>
  <w:style w:type="paragraph" w:styleId="Heading2">
    <w:name w:val="heading 2"/>
    <w:basedOn w:val="Normal"/>
    <w:next w:val="Normal"/>
    <w:link w:val="Heading2Char"/>
    <w:uiPriority w:val="9"/>
    <w:unhideWhenUsed/>
    <w:qFormat/>
    <w:rsid w:val="000A2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24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4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4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181"/>
    <w:rPr>
      <w:rFonts w:ascii="Garamond" w:eastAsiaTheme="majorEastAsia" w:hAnsi="Garamond" w:cstheme="majorBidi"/>
      <w:b/>
      <w:sz w:val="25"/>
      <w:szCs w:val="40"/>
      <w:u w:val="single"/>
    </w:rPr>
  </w:style>
  <w:style w:type="character" w:customStyle="1" w:styleId="Heading2Char">
    <w:name w:val="Heading 2 Char"/>
    <w:basedOn w:val="DefaultParagraphFont"/>
    <w:link w:val="Heading2"/>
    <w:uiPriority w:val="9"/>
    <w:rsid w:val="000A2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A2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426"/>
    <w:rPr>
      <w:rFonts w:eastAsiaTheme="majorEastAsia" w:cstheme="majorBidi"/>
      <w:color w:val="272727" w:themeColor="text1" w:themeTint="D8"/>
    </w:rPr>
  </w:style>
  <w:style w:type="paragraph" w:styleId="Title">
    <w:name w:val="Title"/>
    <w:basedOn w:val="Normal"/>
    <w:next w:val="Normal"/>
    <w:link w:val="TitleChar"/>
    <w:uiPriority w:val="10"/>
    <w:qFormat/>
    <w:rsid w:val="000A2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55B"/>
    <w:pPr>
      <w:spacing w:before="120" w:after="120" w:line="276" w:lineRule="auto"/>
      <w:ind w:left="720"/>
      <w:contextualSpacing/>
      <w:jc w:val="both"/>
    </w:pPr>
    <w:rPr>
      <w:rFonts w:ascii="Garamond" w:hAnsi="Garamond"/>
      <w:sz w:val="25"/>
    </w:rPr>
  </w:style>
  <w:style w:type="character" w:customStyle="1" w:styleId="QuoteChar">
    <w:name w:val="Quote Char"/>
    <w:basedOn w:val="DefaultParagraphFont"/>
    <w:link w:val="Quote"/>
    <w:uiPriority w:val="29"/>
    <w:rsid w:val="0058455B"/>
    <w:rPr>
      <w:rFonts w:ascii="Garamond" w:hAnsi="Garamond"/>
      <w:sz w:val="25"/>
    </w:rPr>
  </w:style>
  <w:style w:type="paragraph" w:styleId="ListParagraph">
    <w:name w:val="List Paragraph"/>
    <w:basedOn w:val="Normal"/>
    <w:uiPriority w:val="34"/>
    <w:qFormat/>
    <w:rsid w:val="000A2426"/>
    <w:pPr>
      <w:ind w:left="720"/>
      <w:contextualSpacing/>
    </w:pPr>
  </w:style>
  <w:style w:type="character" w:styleId="IntenseEmphasis">
    <w:name w:val="Intense Emphasis"/>
    <w:basedOn w:val="DefaultParagraphFont"/>
    <w:uiPriority w:val="21"/>
    <w:qFormat/>
    <w:rsid w:val="000A2426"/>
    <w:rPr>
      <w:i/>
      <w:iCs/>
      <w:color w:val="0F4761" w:themeColor="accent1" w:themeShade="BF"/>
    </w:rPr>
  </w:style>
  <w:style w:type="paragraph" w:styleId="IntenseQuote">
    <w:name w:val="Intense Quote"/>
    <w:basedOn w:val="Normal"/>
    <w:next w:val="Normal"/>
    <w:link w:val="IntenseQuoteChar"/>
    <w:uiPriority w:val="30"/>
    <w:qFormat/>
    <w:rsid w:val="000A2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426"/>
    <w:rPr>
      <w:i/>
      <w:iCs/>
      <w:color w:val="0F4761" w:themeColor="accent1" w:themeShade="BF"/>
    </w:rPr>
  </w:style>
  <w:style w:type="character" w:styleId="IntenseReference">
    <w:name w:val="Intense Reference"/>
    <w:basedOn w:val="DefaultParagraphFont"/>
    <w:uiPriority w:val="32"/>
    <w:qFormat/>
    <w:rsid w:val="000A2426"/>
    <w:rPr>
      <w:b/>
      <w:bCs/>
      <w:smallCaps/>
      <w:color w:val="0F4761" w:themeColor="accent1" w:themeShade="BF"/>
      <w:spacing w:val="5"/>
    </w:rPr>
  </w:style>
  <w:style w:type="numbering" w:customStyle="1" w:styleId="NoList1">
    <w:name w:val="No List1"/>
    <w:next w:val="NoList"/>
    <w:uiPriority w:val="99"/>
    <w:semiHidden/>
    <w:unhideWhenUsed/>
    <w:rsid w:val="000A2426"/>
  </w:style>
  <w:style w:type="paragraph" w:customStyle="1" w:styleId="MainBody0">
    <w:name w:val="Main Body"/>
    <w:basedOn w:val="Normal"/>
    <w:link w:val="MainBodyChar"/>
    <w:qFormat/>
    <w:rsid w:val="000A2426"/>
    <w:pPr>
      <w:spacing w:line="276" w:lineRule="auto"/>
      <w:ind w:firstLine="431"/>
      <w:contextualSpacing/>
      <w:jc w:val="both"/>
    </w:pPr>
    <w:rPr>
      <w:rFonts w:ascii="Garamond" w:hAnsi="Garamond"/>
      <w:sz w:val="25"/>
    </w:rPr>
  </w:style>
  <w:style w:type="character" w:customStyle="1" w:styleId="MainBodyChar">
    <w:name w:val="Main Body Char"/>
    <w:basedOn w:val="DefaultParagraphFont"/>
    <w:link w:val="MainBody0"/>
    <w:rsid w:val="000A2426"/>
    <w:rPr>
      <w:rFonts w:ascii="Garamond" w:hAnsi="Garamond"/>
      <w:sz w:val="25"/>
    </w:rPr>
  </w:style>
  <w:style w:type="paragraph" w:styleId="FootnoteText">
    <w:name w:val="footnote text"/>
    <w:basedOn w:val="Normal"/>
    <w:link w:val="FootnoteTextChar"/>
    <w:uiPriority w:val="99"/>
    <w:unhideWhenUsed/>
    <w:rsid w:val="000A2426"/>
    <w:pPr>
      <w:spacing w:after="0" w:line="240" w:lineRule="auto"/>
    </w:pPr>
    <w:rPr>
      <w:rFonts w:ascii="Garamond" w:hAnsi="Garamond"/>
      <w:sz w:val="20"/>
      <w:szCs w:val="20"/>
    </w:rPr>
  </w:style>
  <w:style w:type="character" w:customStyle="1" w:styleId="FootnoteTextChar">
    <w:name w:val="Footnote Text Char"/>
    <w:basedOn w:val="DefaultParagraphFont"/>
    <w:link w:val="FootnoteText"/>
    <w:uiPriority w:val="99"/>
    <w:rsid w:val="000A2426"/>
    <w:rPr>
      <w:rFonts w:ascii="Garamond" w:hAnsi="Garamond"/>
      <w:sz w:val="20"/>
      <w:szCs w:val="20"/>
    </w:rPr>
  </w:style>
  <w:style w:type="character" w:styleId="FootnoteReference">
    <w:name w:val="footnote reference"/>
    <w:basedOn w:val="DefaultParagraphFont"/>
    <w:uiPriority w:val="99"/>
    <w:unhideWhenUsed/>
    <w:rsid w:val="000A2426"/>
    <w:rPr>
      <w:vertAlign w:val="superscript"/>
    </w:rPr>
  </w:style>
  <w:style w:type="character" w:styleId="CommentReference">
    <w:name w:val="annotation reference"/>
    <w:basedOn w:val="DefaultParagraphFont"/>
    <w:uiPriority w:val="99"/>
    <w:semiHidden/>
    <w:unhideWhenUsed/>
    <w:rsid w:val="000A2426"/>
    <w:rPr>
      <w:sz w:val="16"/>
      <w:szCs w:val="16"/>
    </w:rPr>
  </w:style>
  <w:style w:type="paragraph" w:styleId="CommentText">
    <w:name w:val="annotation text"/>
    <w:basedOn w:val="Normal"/>
    <w:link w:val="CommentTextChar"/>
    <w:uiPriority w:val="99"/>
    <w:unhideWhenUsed/>
    <w:rsid w:val="000A2426"/>
    <w:pPr>
      <w:spacing w:line="240" w:lineRule="auto"/>
    </w:pPr>
    <w:rPr>
      <w:rFonts w:ascii="Garamond" w:hAnsi="Garamond"/>
      <w:sz w:val="20"/>
      <w:szCs w:val="20"/>
    </w:rPr>
  </w:style>
  <w:style w:type="character" w:customStyle="1" w:styleId="CommentTextChar">
    <w:name w:val="Comment Text Char"/>
    <w:basedOn w:val="DefaultParagraphFont"/>
    <w:link w:val="CommentText"/>
    <w:uiPriority w:val="99"/>
    <w:rsid w:val="000A2426"/>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0A2426"/>
    <w:rPr>
      <w:b/>
      <w:bCs/>
    </w:rPr>
  </w:style>
  <w:style w:type="character" w:customStyle="1" w:styleId="CommentSubjectChar">
    <w:name w:val="Comment Subject Char"/>
    <w:basedOn w:val="CommentTextChar"/>
    <w:link w:val="CommentSubject"/>
    <w:uiPriority w:val="99"/>
    <w:semiHidden/>
    <w:rsid w:val="000A2426"/>
    <w:rPr>
      <w:rFonts w:ascii="Garamond" w:hAnsi="Garamond"/>
      <w:b/>
      <w:bCs/>
      <w:sz w:val="20"/>
      <w:szCs w:val="20"/>
    </w:rPr>
  </w:style>
  <w:style w:type="character" w:styleId="Hyperlink">
    <w:name w:val="Hyperlink"/>
    <w:basedOn w:val="DefaultParagraphFont"/>
    <w:uiPriority w:val="99"/>
    <w:unhideWhenUsed/>
    <w:rsid w:val="000A2426"/>
    <w:rPr>
      <w:color w:val="467886" w:themeColor="hyperlink"/>
      <w:u w:val="single"/>
    </w:rPr>
  </w:style>
  <w:style w:type="character" w:styleId="UnresolvedMention">
    <w:name w:val="Unresolved Mention"/>
    <w:basedOn w:val="DefaultParagraphFont"/>
    <w:uiPriority w:val="99"/>
    <w:semiHidden/>
    <w:unhideWhenUsed/>
    <w:rsid w:val="000A2426"/>
    <w:rPr>
      <w:color w:val="605E5C"/>
      <w:shd w:val="clear" w:color="auto" w:fill="E1DFDD"/>
    </w:rPr>
  </w:style>
  <w:style w:type="paragraph" w:styleId="NormalWeb">
    <w:name w:val="Normal (Web)"/>
    <w:basedOn w:val="Normal"/>
    <w:uiPriority w:val="99"/>
    <w:semiHidden/>
    <w:unhideWhenUsed/>
    <w:rsid w:val="000A2426"/>
    <w:rPr>
      <w:rFonts w:ascii="Times New Roman" w:hAnsi="Times New Roman" w:cs="Times New Roman"/>
    </w:rPr>
  </w:style>
  <w:style w:type="paragraph" w:customStyle="1" w:styleId="ParaLevel1">
    <w:name w:val="ParaLevel1"/>
    <w:qFormat/>
    <w:rsid w:val="000A2426"/>
    <w:pPr>
      <w:numPr>
        <w:numId w:val="2"/>
      </w:numPr>
      <w:suppressAutoHyphens/>
      <w:spacing w:after="520" w:line="480" w:lineRule="auto"/>
      <w:outlineLvl w:val="3"/>
    </w:pPr>
    <w:rPr>
      <w:rFonts w:ascii="Calibri" w:eastAsia="Times New Roman" w:hAnsi="Calibri" w:cs="Gisha"/>
      <w:kern w:val="0"/>
      <w:sz w:val="26"/>
      <w:szCs w:val="20"/>
      <w14:ligatures w14:val="none"/>
    </w:rPr>
  </w:style>
  <w:style w:type="paragraph" w:customStyle="1" w:styleId="ParaLevel2">
    <w:name w:val="ParaLevel2"/>
    <w:rsid w:val="000A2426"/>
    <w:pPr>
      <w:numPr>
        <w:ilvl w:val="1"/>
        <w:numId w:val="2"/>
      </w:numPr>
      <w:suppressAutoHyphens/>
      <w:spacing w:after="520" w:line="480" w:lineRule="auto"/>
    </w:pPr>
    <w:rPr>
      <w:rFonts w:ascii="Calibri" w:eastAsia="Times New Roman" w:hAnsi="Calibri" w:cs="Times New Roman"/>
      <w:kern w:val="0"/>
      <w:sz w:val="26"/>
      <w:szCs w:val="20"/>
      <w14:ligatures w14:val="none"/>
    </w:rPr>
  </w:style>
  <w:style w:type="paragraph" w:customStyle="1" w:styleId="ParaLevel3">
    <w:name w:val="ParaLevel3"/>
    <w:qFormat/>
    <w:rsid w:val="000A2426"/>
    <w:pPr>
      <w:numPr>
        <w:ilvl w:val="2"/>
        <w:numId w:val="2"/>
      </w:numPr>
      <w:tabs>
        <w:tab w:val="clear" w:pos="2127"/>
        <w:tab w:val="left" w:pos="2160"/>
      </w:tabs>
      <w:suppressAutoHyphens/>
      <w:spacing w:after="520" w:line="480" w:lineRule="auto"/>
      <w:ind w:left="1440" w:firstLine="0"/>
    </w:pPr>
    <w:rPr>
      <w:rFonts w:ascii="Calibri" w:eastAsia="Times New Roman" w:hAnsi="Calibri" w:cs="Times New Roman"/>
      <w:kern w:val="0"/>
      <w:sz w:val="26"/>
      <w:szCs w:val="20"/>
      <w14:ligatures w14:val="none"/>
    </w:rPr>
  </w:style>
  <w:style w:type="paragraph" w:styleId="Header">
    <w:name w:val="header"/>
    <w:basedOn w:val="Normal"/>
    <w:link w:val="HeaderChar"/>
    <w:uiPriority w:val="99"/>
    <w:unhideWhenUsed/>
    <w:rsid w:val="000A2426"/>
    <w:pPr>
      <w:tabs>
        <w:tab w:val="center" w:pos="4513"/>
        <w:tab w:val="right" w:pos="9026"/>
      </w:tabs>
      <w:spacing w:after="0" w:line="240" w:lineRule="auto"/>
    </w:pPr>
    <w:rPr>
      <w:rFonts w:ascii="Garamond" w:hAnsi="Garamond"/>
      <w:sz w:val="25"/>
    </w:rPr>
  </w:style>
  <w:style w:type="character" w:customStyle="1" w:styleId="HeaderChar">
    <w:name w:val="Header Char"/>
    <w:basedOn w:val="DefaultParagraphFont"/>
    <w:link w:val="Header"/>
    <w:uiPriority w:val="99"/>
    <w:rsid w:val="000A2426"/>
    <w:rPr>
      <w:rFonts w:ascii="Garamond" w:hAnsi="Garamond"/>
      <w:sz w:val="25"/>
    </w:rPr>
  </w:style>
  <w:style w:type="paragraph" w:styleId="Footer">
    <w:name w:val="footer"/>
    <w:basedOn w:val="Normal"/>
    <w:link w:val="FooterChar"/>
    <w:uiPriority w:val="99"/>
    <w:unhideWhenUsed/>
    <w:rsid w:val="000A2426"/>
    <w:pPr>
      <w:tabs>
        <w:tab w:val="center" w:pos="4513"/>
        <w:tab w:val="right" w:pos="9026"/>
      </w:tabs>
      <w:spacing w:after="0" w:line="240" w:lineRule="auto"/>
    </w:pPr>
    <w:rPr>
      <w:rFonts w:ascii="Garamond" w:hAnsi="Garamond"/>
      <w:sz w:val="25"/>
    </w:rPr>
  </w:style>
  <w:style w:type="character" w:customStyle="1" w:styleId="FooterChar">
    <w:name w:val="Footer Char"/>
    <w:basedOn w:val="DefaultParagraphFont"/>
    <w:link w:val="Footer"/>
    <w:uiPriority w:val="99"/>
    <w:rsid w:val="000A2426"/>
    <w:rPr>
      <w:rFonts w:ascii="Garamond" w:hAnsi="Garamond"/>
      <w:sz w:val="25"/>
    </w:rPr>
  </w:style>
  <w:style w:type="paragraph" w:styleId="Revision">
    <w:name w:val="Revision"/>
    <w:hidden/>
    <w:uiPriority w:val="99"/>
    <w:semiHidden/>
    <w:rsid w:val="000A2426"/>
    <w:pPr>
      <w:spacing w:after="0" w:line="240" w:lineRule="auto"/>
    </w:pPr>
    <w:rPr>
      <w:rFonts w:ascii="Garamond" w:hAnsi="Garamond"/>
      <w:sz w:val="25"/>
    </w:rPr>
  </w:style>
  <w:style w:type="paragraph" w:customStyle="1" w:styleId="Notebody">
    <w:name w:val="Note body"/>
    <w:basedOn w:val="Normal"/>
    <w:qFormat/>
    <w:rsid w:val="000A2426"/>
    <w:pPr>
      <w:numPr>
        <w:numId w:val="5"/>
      </w:numPr>
      <w:spacing w:after="240" w:line="276" w:lineRule="auto"/>
      <w:jc w:val="both"/>
    </w:pPr>
    <w:rPr>
      <w:rFonts w:ascii="Arial" w:eastAsia="Times New Roman" w:hAnsi="Arial" w:cs="Arial"/>
      <w:kern w:val="0"/>
      <w:lang w:eastAsia="en-GB"/>
      <w14:ligatures w14:val="none"/>
    </w:rPr>
  </w:style>
  <w:style w:type="paragraph" w:customStyle="1" w:styleId="Mainbody">
    <w:name w:val="Main body"/>
    <w:basedOn w:val="Notebody"/>
    <w:qFormat/>
    <w:rsid w:val="000A2426"/>
    <w:pPr>
      <w:numPr>
        <w:ilvl w:val="1"/>
      </w:numPr>
    </w:pPr>
  </w:style>
  <w:style w:type="character" w:styleId="EndnoteReference">
    <w:name w:val="endnote reference"/>
    <w:basedOn w:val="DefaultParagraphFont"/>
    <w:uiPriority w:val="99"/>
    <w:semiHidden/>
    <w:unhideWhenUsed/>
    <w:rsid w:val="000A2426"/>
    <w:rPr>
      <w:vertAlign w:val="superscript"/>
    </w:rPr>
  </w:style>
  <w:style w:type="paragraph" w:styleId="Bibliography">
    <w:name w:val="Bibliography"/>
    <w:basedOn w:val="Normal"/>
    <w:next w:val="Normal"/>
    <w:uiPriority w:val="37"/>
    <w:semiHidden/>
    <w:unhideWhenUsed/>
    <w:rsid w:val="00EA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179">
      <w:bodyDiv w:val="1"/>
      <w:marLeft w:val="0"/>
      <w:marRight w:val="0"/>
      <w:marTop w:val="0"/>
      <w:marBottom w:val="0"/>
      <w:divBdr>
        <w:top w:val="none" w:sz="0" w:space="0" w:color="auto"/>
        <w:left w:val="none" w:sz="0" w:space="0" w:color="auto"/>
        <w:bottom w:val="none" w:sz="0" w:space="0" w:color="auto"/>
        <w:right w:val="none" w:sz="0" w:space="0" w:color="auto"/>
      </w:divBdr>
    </w:div>
    <w:div w:id="54479425">
      <w:bodyDiv w:val="1"/>
      <w:marLeft w:val="0"/>
      <w:marRight w:val="0"/>
      <w:marTop w:val="0"/>
      <w:marBottom w:val="0"/>
      <w:divBdr>
        <w:top w:val="none" w:sz="0" w:space="0" w:color="auto"/>
        <w:left w:val="none" w:sz="0" w:space="0" w:color="auto"/>
        <w:bottom w:val="none" w:sz="0" w:space="0" w:color="auto"/>
        <w:right w:val="none" w:sz="0" w:space="0" w:color="auto"/>
      </w:divBdr>
    </w:div>
    <w:div w:id="57826687">
      <w:bodyDiv w:val="1"/>
      <w:marLeft w:val="0"/>
      <w:marRight w:val="0"/>
      <w:marTop w:val="0"/>
      <w:marBottom w:val="0"/>
      <w:divBdr>
        <w:top w:val="none" w:sz="0" w:space="0" w:color="auto"/>
        <w:left w:val="none" w:sz="0" w:space="0" w:color="auto"/>
        <w:bottom w:val="none" w:sz="0" w:space="0" w:color="auto"/>
        <w:right w:val="none" w:sz="0" w:space="0" w:color="auto"/>
      </w:divBdr>
    </w:div>
    <w:div w:id="261955183">
      <w:bodyDiv w:val="1"/>
      <w:marLeft w:val="0"/>
      <w:marRight w:val="0"/>
      <w:marTop w:val="0"/>
      <w:marBottom w:val="0"/>
      <w:divBdr>
        <w:top w:val="none" w:sz="0" w:space="0" w:color="auto"/>
        <w:left w:val="none" w:sz="0" w:space="0" w:color="auto"/>
        <w:bottom w:val="none" w:sz="0" w:space="0" w:color="auto"/>
        <w:right w:val="none" w:sz="0" w:space="0" w:color="auto"/>
      </w:divBdr>
      <w:divsChild>
        <w:div w:id="610473582">
          <w:marLeft w:val="0"/>
          <w:marRight w:val="0"/>
          <w:marTop w:val="0"/>
          <w:marBottom w:val="0"/>
          <w:divBdr>
            <w:top w:val="none" w:sz="0" w:space="0" w:color="auto"/>
            <w:left w:val="none" w:sz="0" w:space="0" w:color="auto"/>
            <w:bottom w:val="none" w:sz="0" w:space="0" w:color="auto"/>
            <w:right w:val="none" w:sz="0" w:space="0" w:color="auto"/>
          </w:divBdr>
          <w:divsChild>
            <w:div w:id="17707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63">
      <w:bodyDiv w:val="1"/>
      <w:marLeft w:val="0"/>
      <w:marRight w:val="0"/>
      <w:marTop w:val="0"/>
      <w:marBottom w:val="0"/>
      <w:divBdr>
        <w:top w:val="none" w:sz="0" w:space="0" w:color="auto"/>
        <w:left w:val="none" w:sz="0" w:space="0" w:color="auto"/>
        <w:bottom w:val="none" w:sz="0" w:space="0" w:color="auto"/>
        <w:right w:val="none" w:sz="0" w:space="0" w:color="auto"/>
      </w:divBdr>
    </w:div>
    <w:div w:id="671878300">
      <w:bodyDiv w:val="1"/>
      <w:marLeft w:val="0"/>
      <w:marRight w:val="0"/>
      <w:marTop w:val="0"/>
      <w:marBottom w:val="0"/>
      <w:divBdr>
        <w:top w:val="none" w:sz="0" w:space="0" w:color="auto"/>
        <w:left w:val="none" w:sz="0" w:space="0" w:color="auto"/>
        <w:bottom w:val="none" w:sz="0" w:space="0" w:color="auto"/>
        <w:right w:val="none" w:sz="0" w:space="0" w:color="auto"/>
      </w:divBdr>
    </w:div>
    <w:div w:id="770735237">
      <w:bodyDiv w:val="1"/>
      <w:marLeft w:val="0"/>
      <w:marRight w:val="0"/>
      <w:marTop w:val="0"/>
      <w:marBottom w:val="0"/>
      <w:divBdr>
        <w:top w:val="none" w:sz="0" w:space="0" w:color="auto"/>
        <w:left w:val="none" w:sz="0" w:space="0" w:color="auto"/>
        <w:bottom w:val="none" w:sz="0" w:space="0" w:color="auto"/>
        <w:right w:val="none" w:sz="0" w:space="0" w:color="auto"/>
      </w:divBdr>
    </w:div>
    <w:div w:id="857962044">
      <w:bodyDiv w:val="1"/>
      <w:marLeft w:val="0"/>
      <w:marRight w:val="0"/>
      <w:marTop w:val="0"/>
      <w:marBottom w:val="0"/>
      <w:divBdr>
        <w:top w:val="none" w:sz="0" w:space="0" w:color="auto"/>
        <w:left w:val="none" w:sz="0" w:space="0" w:color="auto"/>
        <w:bottom w:val="none" w:sz="0" w:space="0" w:color="auto"/>
        <w:right w:val="none" w:sz="0" w:space="0" w:color="auto"/>
      </w:divBdr>
    </w:div>
    <w:div w:id="944581550">
      <w:bodyDiv w:val="1"/>
      <w:marLeft w:val="0"/>
      <w:marRight w:val="0"/>
      <w:marTop w:val="0"/>
      <w:marBottom w:val="0"/>
      <w:divBdr>
        <w:top w:val="none" w:sz="0" w:space="0" w:color="auto"/>
        <w:left w:val="none" w:sz="0" w:space="0" w:color="auto"/>
        <w:bottom w:val="none" w:sz="0" w:space="0" w:color="auto"/>
        <w:right w:val="none" w:sz="0" w:space="0" w:color="auto"/>
      </w:divBdr>
    </w:div>
    <w:div w:id="1005474393">
      <w:bodyDiv w:val="1"/>
      <w:marLeft w:val="0"/>
      <w:marRight w:val="0"/>
      <w:marTop w:val="0"/>
      <w:marBottom w:val="0"/>
      <w:divBdr>
        <w:top w:val="none" w:sz="0" w:space="0" w:color="auto"/>
        <w:left w:val="none" w:sz="0" w:space="0" w:color="auto"/>
        <w:bottom w:val="none" w:sz="0" w:space="0" w:color="auto"/>
        <w:right w:val="none" w:sz="0" w:space="0" w:color="auto"/>
      </w:divBdr>
    </w:div>
    <w:div w:id="1015349449">
      <w:bodyDiv w:val="1"/>
      <w:marLeft w:val="0"/>
      <w:marRight w:val="0"/>
      <w:marTop w:val="0"/>
      <w:marBottom w:val="0"/>
      <w:divBdr>
        <w:top w:val="none" w:sz="0" w:space="0" w:color="auto"/>
        <w:left w:val="none" w:sz="0" w:space="0" w:color="auto"/>
        <w:bottom w:val="none" w:sz="0" w:space="0" w:color="auto"/>
        <w:right w:val="none" w:sz="0" w:space="0" w:color="auto"/>
      </w:divBdr>
    </w:div>
    <w:div w:id="1150950360">
      <w:bodyDiv w:val="1"/>
      <w:marLeft w:val="0"/>
      <w:marRight w:val="0"/>
      <w:marTop w:val="0"/>
      <w:marBottom w:val="0"/>
      <w:divBdr>
        <w:top w:val="none" w:sz="0" w:space="0" w:color="auto"/>
        <w:left w:val="none" w:sz="0" w:space="0" w:color="auto"/>
        <w:bottom w:val="none" w:sz="0" w:space="0" w:color="auto"/>
        <w:right w:val="none" w:sz="0" w:space="0" w:color="auto"/>
      </w:divBdr>
    </w:div>
    <w:div w:id="1202287264">
      <w:bodyDiv w:val="1"/>
      <w:marLeft w:val="0"/>
      <w:marRight w:val="0"/>
      <w:marTop w:val="0"/>
      <w:marBottom w:val="0"/>
      <w:divBdr>
        <w:top w:val="none" w:sz="0" w:space="0" w:color="auto"/>
        <w:left w:val="none" w:sz="0" w:space="0" w:color="auto"/>
        <w:bottom w:val="none" w:sz="0" w:space="0" w:color="auto"/>
        <w:right w:val="none" w:sz="0" w:space="0" w:color="auto"/>
      </w:divBdr>
    </w:div>
    <w:div w:id="1251235439">
      <w:bodyDiv w:val="1"/>
      <w:marLeft w:val="0"/>
      <w:marRight w:val="0"/>
      <w:marTop w:val="0"/>
      <w:marBottom w:val="0"/>
      <w:divBdr>
        <w:top w:val="none" w:sz="0" w:space="0" w:color="auto"/>
        <w:left w:val="none" w:sz="0" w:space="0" w:color="auto"/>
        <w:bottom w:val="none" w:sz="0" w:space="0" w:color="auto"/>
        <w:right w:val="none" w:sz="0" w:space="0" w:color="auto"/>
      </w:divBdr>
    </w:div>
    <w:div w:id="1379890961">
      <w:bodyDiv w:val="1"/>
      <w:marLeft w:val="0"/>
      <w:marRight w:val="0"/>
      <w:marTop w:val="0"/>
      <w:marBottom w:val="0"/>
      <w:divBdr>
        <w:top w:val="none" w:sz="0" w:space="0" w:color="auto"/>
        <w:left w:val="none" w:sz="0" w:space="0" w:color="auto"/>
        <w:bottom w:val="none" w:sz="0" w:space="0" w:color="auto"/>
        <w:right w:val="none" w:sz="0" w:space="0" w:color="auto"/>
      </w:divBdr>
    </w:div>
    <w:div w:id="1444611587">
      <w:bodyDiv w:val="1"/>
      <w:marLeft w:val="0"/>
      <w:marRight w:val="0"/>
      <w:marTop w:val="0"/>
      <w:marBottom w:val="0"/>
      <w:divBdr>
        <w:top w:val="none" w:sz="0" w:space="0" w:color="auto"/>
        <w:left w:val="none" w:sz="0" w:space="0" w:color="auto"/>
        <w:bottom w:val="none" w:sz="0" w:space="0" w:color="auto"/>
        <w:right w:val="none" w:sz="0" w:space="0" w:color="auto"/>
      </w:divBdr>
    </w:div>
    <w:div w:id="1773277151">
      <w:bodyDiv w:val="1"/>
      <w:marLeft w:val="0"/>
      <w:marRight w:val="0"/>
      <w:marTop w:val="0"/>
      <w:marBottom w:val="0"/>
      <w:divBdr>
        <w:top w:val="none" w:sz="0" w:space="0" w:color="auto"/>
        <w:left w:val="none" w:sz="0" w:space="0" w:color="auto"/>
        <w:bottom w:val="none" w:sz="0" w:space="0" w:color="auto"/>
        <w:right w:val="none" w:sz="0" w:space="0" w:color="auto"/>
      </w:divBdr>
    </w:div>
    <w:div w:id="2012416103">
      <w:bodyDiv w:val="1"/>
      <w:marLeft w:val="0"/>
      <w:marRight w:val="0"/>
      <w:marTop w:val="0"/>
      <w:marBottom w:val="0"/>
      <w:divBdr>
        <w:top w:val="none" w:sz="0" w:space="0" w:color="auto"/>
        <w:left w:val="none" w:sz="0" w:space="0" w:color="auto"/>
        <w:bottom w:val="none" w:sz="0" w:space="0" w:color="auto"/>
        <w:right w:val="none" w:sz="0" w:space="0" w:color="auto"/>
      </w:divBdr>
    </w:div>
    <w:div w:id="2053309814">
      <w:bodyDiv w:val="1"/>
      <w:marLeft w:val="0"/>
      <w:marRight w:val="0"/>
      <w:marTop w:val="0"/>
      <w:marBottom w:val="0"/>
      <w:divBdr>
        <w:top w:val="none" w:sz="0" w:space="0" w:color="auto"/>
        <w:left w:val="none" w:sz="0" w:space="0" w:color="auto"/>
        <w:bottom w:val="none" w:sz="0" w:space="0" w:color="auto"/>
        <w:right w:val="none" w:sz="0" w:space="0" w:color="auto"/>
      </w:divBdr>
    </w:div>
    <w:div w:id="2104255961">
      <w:bodyDiv w:val="1"/>
      <w:marLeft w:val="0"/>
      <w:marRight w:val="0"/>
      <w:marTop w:val="0"/>
      <w:marBottom w:val="0"/>
      <w:divBdr>
        <w:top w:val="none" w:sz="0" w:space="0" w:color="auto"/>
        <w:left w:val="none" w:sz="0" w:space="0" w:color="auto"/>
        <w:bottom w:val="none" w:sz="0" w:space="0" w:color="auto"/>
        <w:right w:val="none" w:sz="0" w:space="0" w:color="auto"/>
      </w:divBdr>
      <w:divsChild>
        <w:div w:id="1860660742">
          <w:marLeft w:val="0"/>
          <w:marRight w:val="0"/>
          <w:marTop w:val="0"/>
          <w:marBottom w:val="0"/>
          <w:divBdr>
            <w:top w:val="none" w:sz="0" w:space="0" w:color="auto"/>
            <w:left w:val="none" w:sz="0" w:space="0" w:color="auto"/>
            <w:bottom w:val="none" w:sz="0" w:space="0" w:color="auto"/>
            <w:right w:val="none" w:sz="0" w:space="0" w:color="auto"/>
          </w:divBdr>
          <w:divsChild>
            <w:div w:id="7557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76103-E681-42FA-94C0-D8633053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5203</Words>
  <Characters>29661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Sales</dc:creator>
  <cp:keywords/>
  <dc:description/>
  <cp:lastModifiedBy>ATTENBOROUGH, DANIEL</cp:lastModifiedBy>
  <cp:revision>3</cp:revision>
  <dcterms:created xsi:type="dcterms:W3CDTF">2025-03-03T14:30:00Z</dcterms:created>
  <dcterms:modified xsi:type="dcterms:W3CDTF">2025-03-07T23:21:00Z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zotero-version="7.0.5"&gt;&lt;session id="oKVDqH12"/&gt;&lt;style id="http://www.zotero.org/styles/oscola" hasBibliography="1" bibliographyStyleHasBeenSet="1"/&gt;&lt;prefs&gt;&lt;pref name="fieldType" value="Field"/&gt;&lt;pref name="automaticJournalAbbreviatio</vt:lpwstr>
  </property>
  <property fmtid="{D5CDD505-2E9C-101B-9397-08002B2CF9AE}" pid="3" name="ZOTERO_PREF_2">
    <vt:lpwstr>ns" value="true"/&gt;&lt;pref name="noteType" value="1"/&gt;&lt;/prefs&gt;&lt;/data&gt;</vt:lpwstr>
  </property>
</Properties>
</file>